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6C7D043">
      <w:pPr>
        <w:snapToGrid w:val="0"/>
        <w:spacing w:line="580" w:lineRule="exact"/>
        <w:rPr>
          <w:rFonts w:hint="eastAsia" w:ascii="方正小标宋_GBK" w:hAnsi="方正小标宋_GBK" w:eastAsia="方正小标宋_GBK" w:cs="方正小标宋_GBK"/>
          <w:color w:val="000000"/>
          <w:sz w:val="44"/>
          <w:szCs w:val="44"/>
        </w:rPr>
      </w:pPr>
    </w:p>
    <w:p w14:paraId="75886BD2">
      <w:pPr>
        <w:snapToGrid w:val="0"/>
        <w:spacing w:line="580" w:lineRule="exact"/>
        <w:jc w:val="center"/>
        <w:rPr>
          <w:rFonts w:hint="eastAsia" w:ascii="方正小标宋_GBK" w:hAnsi="方正小标宋_GBK" w:eastAsia="方正小标宋_GBK" w:cs="方正小标宋_GBK"/>
          <w:color w:val="000000"/>
          <w:sz w:val="44"/>
          <w:szCs w:val="44"/>
          <w:lang w:eastAsia="zh-CN"/>
        </w:rPr>
      </w:pPr>
      <w:r>
        <w:rPr>
          <w:rFonts w:hint="eastAsia" w:ascii="方正小标宋_GBK" w:hAnsi="方正小标宋_GBK" w:eastAsia="方正小标宋_GBK" w:cs="方正小标宋_GBK"/>
          <w:color w:val="000000"/>
          <w:sz w:val="44"/>
          <w:szCs w:val="44"/>
          <w:lang w:eastAsia="zh-CN"/>
        </w:rPr>
        <w:t>南京市</w:t>
      </w:r>
      <w:r>
        <w:rPr>
          <w:rFonts w:hint="eastAsia" w:ascii="方正小标宋_GBK" w:hAnsi="方正小标宋_GBK" w:eastAsia="方正小标宋_GBK" w:cs="方正小标宋_GBK"/>
          <w:color w:val="000000"/>
          <w:sz w:val="44"/>
          <w:szCs w:val="44"/>
          <w:lang w:val="en-US" w:eastAsia="zh-CN"/>
        </w:rPr>
        <w:t>电线电缆</w:t>
      </w:r>
      <w:r>
        <w:rPr>
          <w:rFonts w:hint="eastAsia" w:ascii="方正小标宋_GBK" w:hAnsi="方正小标宋_GBK" w:eastAsia="方正小标宋_GBK" w:cs="方正小标宋_GBK"/>
          <w:color w:val="000000"/>
          <w:sz w:val="44"/>
          <w:szCs w:val="44"/>
        </w:rPr>
        <w:t>产品质量监督抽查实施细则</w:t>
      </w:r>
      <w:r>
        <w:rPr>
          <w:rFonts w:hint="eastAsia" w:ascii="方正小标宋_GBK" w:hAnsi="方正小标宋_GBK" w:eastAsia="方正小标宋_GBK" w:cs="方正小标宋_GBK"/>
          <w:color w:val="000000"/>
          <w:sz w:val="36"/>
          <w:szCs w:val="36"/>
          <w:lang w:eastAsia="zh-CN"/>
        </w:rPr>
        <w:t>（</w:t>
      </w:r>
      <w:r>
        <w:rPr>
          <w:rFonts w:hint="eastAsia" w:ascii="方正小标宋_GBK" w:hAnsi="方正小标宋_GBK" w:eastAsia="方正小标宋_GBK" w:cs="方正小标宋_GBK"/>
          <w:color w:val="000000"/>
          <w:sz w:val="36"/>
          <w:szCs w:val="36"/>
        </w:rPr>
        <w:t>202</w:t>
      </w:r>
      <w:r>
        <w:rPr>
          <w:rFonts w:hint="eastAsia" w:ascii="方正小标宋_GBK" w:hAnsi="方正小标宋_GBK" w:eastAsia="方正小标宋_GBK" w:cs="方正小标宋_GBK"/>
          <w:color w:val="000000"/>
          <w:sz w:val="36"/>
          <w:szCs w:val="36"/>
          <w:lang w:val="en-US" w:eastAsia="zh-CN"/>
        </w:rPr>
        <w:t>6</w:t>
      </w:r>
      <w:r>
        <w:rPr>
          <w:rFonts w:hint="eastAsia" w:ascii="方正小标宋_GBK" w:hAnsi="方正小标宋_GBK" w:eastAsia="方正小标宋_GBK" w:cs="方正小标宋_GBK"/>
          <w:color w:val="000000"/>
          <w:sz w:val="36"/>
          <w:szCs w:val="36"/>
        </w:rPr>
        <w:t>年</w:t>
      </w:r>
      <w:r>
        <w:rPr>
          <w:rFonts w:hint="eastAsia" w:ascii="方正小标宋_GBK" w:hAnsi="方正小标宋_GBK" w:eastAsia="方正小标宋_GBK" w:cs="方正小标宋_GBK"/>
          <w:color w:val="000000"/>
          <w:sz w:val="36"/>
          <w:szCs w:val="36"/>
          <w:lang w:val="en-US" w:eastAsia="zh-CN"/>
        </w:rPr>
        <w:t>版</w:t>
      </w:r>
      <w:r>
        <w:rPr>
          <w:rFonts w:hint="eastAsia" w:ascii="方正小标宋_GBK" w:hAnsi="方正小标宋_GBK" w:eastAsia="方正小标宋_GBK" w:cs="方正小标宋_GBK"/>
          <w:color w:val="000000"/>
          <w:sz w:val="36"/>
          <w:szCs w:val="36"/>
          <w:lang w:eastAsia="zh-CN"/>
        </w:rPr>
        <w:t>）</w:t>
      </w:r>
    </w:p>
    <w:p w14:paraId="1EA63D8B">
      <w:pPr>
        <w:spacing w:line="580" w:lineRule="exact"/>
        <w:jc w:val="center"/>
        <w:rPr>
          <w:rFonts w:hint="eastAsia" w:ascii="宋体" w:hAnsi="宋体" w:cs="宋体"/>
          <w:b/>
          <w:sz w:val="36"/>
          <w:szCs w:val="36"/>
        </w:rPr>
      </w:pPr>
    </w:p>
    <w:p w14:paraId="2CEB727C">
      <w:pPr>
        <w:spacing w:line="600" w:lineRule="exact"/>
        <w:ind w:firstLine="640" w:firstLineChars="200"/>
        <w:rPr>
          <w:rFonts w:hint="eastAsia" w:ascii="方正黑体_GBK" w:hAnsi="方正仿宋_GBK" w:eastAsia="方正黑体_GBK" w:cs="方正仿宋_GBK"/>
          <w:kern w:val="0"/>
          <w:sz w:val="32"/>
          <w:szCs w:val="32"/>
          <w:shd w:val="clear" w:color="auto" w:fill="FFFFFF"/>
          <w:lang w:bidi="ar"/>
        </w:rPr>
      </w:pPr>
      <w:r>
        <w:rPr>
          <w:rFonts w:ascii="Times New Roman" w:hAnsi="Times New Roman" w:eastAsia="黑体"/>
          <w:bCs/>
          <w:sz w:val="32"/>
          <w:szCs w:val="32"/>
        </w:rPr>
        <w:t>1.</w:t>
      </w:r>
      <w:r>
        <w:rPr>
          <w:rFonts w:hint="eastAsia" w:ascii="方正黑体_GBK" w:hAnsi="方正仿宋_GBK" w:eastAsia="方正黑体_GBK" w:cs="方正仿宋_GBK"/>
          <w:kern w:val="0"/>
          <w:sz w:val="32"/>
          <w:szCs w:val="32"/>
          <w:shd w:val="clear" w:color="auto" w:fill="FFFFFF"/>
          <w:lang w:bidi="ar"/>
        </w:rPr>
        <w:t>范围</w:t>
      </w:r>
    </w:p>
    <w:p w14:paraId="3E3C86DD">
      <w:pPr>
        <w:spacing w:line="560" w:lineRule="exact"/>
        <w:ind w:firstLine="640" w:firstLineChars="200"/>
        <w:rPr>
          <w:rFonts w:hint="eastAsia" w:ascii="仿宋_GB2312" w:hAnsi="宋体" w:eastAsia="仿宋_GB2312"/>
          <w:sz w:val="30"/>
          <w:szCs w:val="32"/>
        </w:rPr>
      </w:pPr>
      <w:r>
        <w:rPr>
          <w:rFonts w:hint="eastAsia" w:ascii="方正仿宋_GBK" w:hAnsi="方正仿宋_GBK" w:eastAsia="方正仿宋_GBK" w:cs="方正仿宋_GBK"/>
          <w:sz w:val="32"/>
          <w:szCs w:val="32"/>
        </w:rPr>
        <w:t>本细则适用于</w:t>
      </w:r>
      <w:r>
        <w:rPr>
          <w:rFonts w:hint="eastAsia" w:ascii="方正仿宋_GBK" w:hAnsi="方正仿宋_GBK" w:eastAsia="方正仿宋_GBK" w:cs="方正仿宋_GBK"/>
          <w:sz w:val="32"/>
          <w:szCs w:val="32"/>
          <w:lang w:eastAsia="zh-CN"/>
        </w:rPr>
        <w:t>南京市市场监督管理局</w:t>
      </w:r>
      <w:r>
        <w:rPr>
          <w:rFonts w:hint="eastAsia" w:ascii="方正仿宋_GBK" w:hAnsi="方正仿宋_GBK" w:eastAsia="方正仿宋_GBK" w:cs="方正仿宋_GBK"/>
          <w:sz w:val="32"/>
          <w:szCs w:val="32"/>
        </w:rPr>
        <w:t>组织的</w:t>
      </w:r>
      <w:r>
        <w:rPr>
          <w:rFonts w:hint="eastAsia" w:ascii="方正仿宋_GBK" w:hAnsi="方正仿宋_GBK" w:eastAsia="方正仿宋_GBK" w:cs="方正仿宋_GBK"/>
          <w:sz w:val="32"/>
          <w:szCs w:val="32"/>
          <w:lang w:val="en-US" w:eastAsia="zh-CN"/>
        </w:rPr>
        <w:t>电线电缆</w:t>
      </w:r>
      <w:r>
        <w:rPr>
          <w:rFonts w:hint="eastAsia" w:ascii="方正仿宋_GBK" w:hAnsi="方正仿宋_GBK" w:eastAsia="方正仿宋_GBK" w:cs="方正仿宋_GBK"/>
          <w:sz w:val="32"/>
          <w:szCs w:val="32"/>
        </w:rPr>
        <w:t>产品质量监督抽查检验。本细则规</w:t>
      </w:r>
      <w:r>
        <w:rPr>
          <w:rFonts w:hint="eastAsia" w:ascii="方正仿宋_GBK" w:hAnsi="方正仿宋_GBK" w:eastAsia="方正仿宋_GBK" w:cs="方正仿宋_GBK"/>
          <w:b w:val="0"/>
          <w:bCs w:val="0"/>
          <w:sz w:val="32"/>
          <w:szCs w:val="32"/>
        </w:rPr>
        <w:t>定了此产品的抽</w:t>
      </w:r>
      <w:r>
        <w:rPr>
          <w:rFonts w:hint="eastAsia" w:ascii="方正仿宋_GBK" w:hAnsi="方正仿宋_GBK" w:eastAsia="方正仿宋_GBK" w:cs="方正仿宋_GBK"/>
          <w:sz w:val="32"/>
          <w:szCs w:val="32"/>
        </w:rPr>
        <w:t>样方法、检验依据、检验项目、检验方法、判定原则、异议处理及复检。</w:t>
      </w:r>
    </w:p>
    <w:p w14:paraId="2E321BA8">
      <w:pPr>
        <w:spacing w:line="600" w:lineRule="exact"/>
        <w:ind w:firstLine="640" w:firstLineChars="200"/>
        <w:rPr>
          <w:rFonts w:hint="eastAsia" w:ascii="Times New Roman" w:hAnsi="Times New Roman" w:eastAsia="黑体" w:cs="Times New Roman"/>
          <w:bCs/>
          <w:sz w:val="32"/>
          <w:szCs w:val="32"/>
        </w:rPr>
      </w:pPr>
      <w:r>
        <w:rPr>
          <w:rFonts w:hint="eastAsia" w:ascii="Times New Roman" w:hAnsi="Times New Roman" w:eastAsia="黑体" w:cs="Times New Roman"/>
          <w:bCs/>
          <w:sz w:val="32"/>
          <w:szCs w:val="32"/>
          <w:lang w:val="en-US" w:eastAsia="zh-CN"/>
        </w:rPr>
        <w:t>2.</w:t>
      </w:r>
      <w:r>
        <w:rPr>
          <w:rFonts w:hint="eastAsia" w:ascii="Times New Roman" w:hAnsi="Times New Roman" w:eastAsia="黑体" w:cs="Times New Roman"/>
          <w:bCs/>
          <w:sz w:val="32"/>
          <w:szCs w:val="32"/>
        </w:rPr>
        <w:t>抽样方法</w:t>
      </w:r>
    </w:p>
    <w:p w14:paraId="2F1BF859">
      <w:pPr>
        <w:spacing w:line="580" w:lineRule="exact"/>
        <w:ind w:firstLine="640" w:firstLineChars="200"/>
        <w:rPr>
          <w:rFonts w:hint="eastAsia" w:ascii="Times New Roman" w:hAnsi="Times New Roman" w:eastAsia="方正仿宋_GBK"/>
          <w:b/>
          <w:bCs/>
          <w:kern w:val="0"/>
          <w:sz w:val="32"/>
          <w:szCs w:val="32"/>
          <w:shd w:val="clear" w:color="auto" w:fill="FFFFFF"/>
          <w:lang w:bidi="ar"/>
        </w:rPr>
      </w:pPr>
      <w:r>
        <w:rPr>
          <w:rFonts w:hint="eastAsia" w:ascii="Times New Roman" w:hAnsi="Times New Roman" w:eastAsia="黑体" w:cs="Times New Roman"/>
          <w:bCs/>
          <w:sz w:val="32"/>
          <w:szCs w:val="32"/>
        </w:rPr>
        <w:t>2.1生产</w:t>
      </w:r>
      <w:r>
        <w:rPr>
          <w:rFonts w:hint="eastAsia" w:ascii="Times New Roman" w:hAnsi="Times New Roman" w:eastAsia="方正仿宋_GBK"/>
          <w:b/>
          <w:bCs/>
          <w:kern w:val="0"/>
          <w:sz w:val="32"/>
          <w:szCs w:val="32"/>
          <w:shd w:val="clear" w:color="auto" w:fill="FFFFFF"/>
          <w:lang w:bidi="ar"/>
        </w:rPr>
        <w:t>企业、</w:t>
      </w:r>
      <w:r>
        <w:rPr>
          <w:rFonts w:hint="eastAsia" w:ascii="方正仿宋_GBK" w:hAnsi="方正仿宋_GBK" w:eastAsia="方正仿宋_GBK" w:cs="方正仿宋_GBK"/>
          <w:b/>
          <w:bCs/>
          <w:sz w:val="32"/>
          <w:szCs w:val="32"/>
          <w:lang w:eastAsia="zh-CN"/>
        </w:rPr>
        <w:t>实体店</w:t>
      </w:r>
      <w:r>
        <w:rPr>
          <w:rFonts w:hint="eastAsia" w:ascii="方正仿宋_GBK" w:hAnsi="方正仿宋_GBK" w:eastAsia="方正仿宋_GBK" w:cs="方正仿宋_GBK"/>
          <w:b/>
          <w:bCs/>
          <w:sz w:val="32"/>
          <w:szCs w:val="32"/>
        </w:rPr>
        <w:t>抽样</w:t>
      </w:r>
    </w:p>
    <w:p w14:paraId="7F6B4714">
      <w:pPr>
        <w:spacing w:line="580" w:lineRule="exact"/>
        <w:ind w:firstLine="640" w:firstLineChars="200"/>
        <w:rPr>
          <w:rFonts w:hint="eastAsia" w:ascii="Times New Roman" w:hAnsi="Times New Roman" w:eastAsia="方正仿宋_GBK"/>
          <w:kern w:val="0"/>
          <w:sz w:val="32"/>
          <w:szCs w:val="32"/>
          <w:shd w:val="clear" w:color="auto" w:fill="FFFFFF"/>
          <w:lang w:bidi="ar"/>
        </w:rPr>
      </w:pPr>
      <w:r>
        <w:rPr>
          <w:rFonts w:ascii="方正仿宋_GBK" w:hAnsi="方正仿宋_GBK" w:eastAsia="方正仿宋_GBK" w:cs="方正仿宋_GBK"/>
          <w:sz w:val="32"/>
          <w:szCs w:val="32"/>
        </w:rPr>
        <w:t>在</w:t>
      </w:r>
      <w:r>
        <w:rPr>
          <w:rFonts w:hint="eastAsia" w:ascii="方正仿宋_GBK" w:hAnsi="方正仿宋_GBK" w:eastAsia="方正仿宋_GBK" w:cs="方正仿宋_GBK"/>
          <w:sz w:val="32"/>
          <w:szCs w:val="32"/>
        </w:rPr>
        <w:t>受检</w:t>
      </w:r>
      <w:r>
        <w:rPr>
          <w:rFonts w:ascii="方正仿宋_GBK" w:hAnsi="方正仿宋_GBK" w:eastAsia="方正仿宋_GBK" w:cs="方正仿宋_GBK"/>
          <w:sz w:val="32"/>
          <w:szCs w:val="32"/>
        </w:rPr>
        <w:t>企业的成品</w:t>
      </w:r>
      <w:r>
        <w:rPr>
          <w:rFonts w:hint="eastAsia" w:ascii="方正仿宋_GBK" w:hAnsi="方正仿宋_GBK" w:eastAsia="方正仿宋_GBK" w:cs="方正仿宋_GBK"/>
          <w:sz w:val="32"/>
          <w:szCs w:val="32"/>
        </w:rPr>
        <w:t>仓库或者其确认场所，</w:t>
      </w:r>
      <w:r>
        <w:rPr>
          <w:rFonts w:ascii="方正仿宋_GBK" w:hAnsi="方正仿宋_GBK" w:eastAsia="方正仿宋_GBK" w:cs="方正仿宋_GBK"/>
          <w:sz w:val="32"/>
          <w:szCs w:val="32"/>
        </w:rPr>
        <w:t>随机抽取有产品质量检验合格证明或者其他形式表明合格的</w:t>
      </w:r>
      <w:r>
        <w:rPr>
          <w:rFonts w:hint="eastAsia" w:ascii="方正仿宋_GBK" w:hAnsi="方正仿宋_GBK" w:eastAsia="方正仿宋_GBK" w:cs="方正仿宋_GBK"/>
          <w:sz w:val="32"/>
          <w:szCs w:val="32"/>
        </w:rPr>
        <w:t>待销</w:t>
      </w:r>
      <w:r>
        <w:rPr>
          <w:rFonts w:ascii="方正仿宋_GBK" w:hAnsi="方正仿宋_GBK" w:eastAsia="方正仿宋_GBK" w:cs="方正仿宋_GBK"/>
          <w:sz w:val="32"/>
          <w:szCs w:val="32"/>
        </w:rPr>
        <w:t>产品</w:t>
      </w:r>
      <w:r>
        <w:rPr>
          <w:rFonts w:hint="eastAsia" w:ascii="方正仿宋_GBK" w:hAnsi="方正仿宋_GBK" w:eastAsia="方正仿宋_GBK" w:cs="方正仿宋_GBK"/>
          <w:sz w:val="32"/>
          <w:szCs w:val="32"/>
          <w:lang w:eastAsia="zh-CN"/>
        </w:rPr>
        <w:t>，</w:t>
      </w:r>
      <w:r>
        <w:rPr>
          <w:rFonts w:ascii="方正仿宋_GBK" w:hAnsi="方正仿宋_GBK" w:eastAsia="方正仿宋_GBK" w:cs="方正仿宋_GBK"/>
          <w:sz w:val="32"/>
          <w:szCs w:val="32"/>
        </w:rPr>
        <w:t>抽</w:t>
      </w:r>
      <w:r>
        <w:rPr>
          <w:rFonts w:hint="eastAsia" w:ascii="方正仿宋_GBK" w:hAnsi="方正仿宋_GBK" w:eastAsia="方正仿宋_GBK" w:cs="方正仿宋_GBK"/>
          <w:sz w:val="32"/>
          <w:szCs w:val="32"/>
        </w:rPr>
        <w:t>样基数应满足抽样要求。</w:t>
      </w:r>
      <w:r>
        <w:rPr>
          <w:rFonts w:hint="eastAsia" w:ascii="Times New Roman" w:hAnsi="Times New Roman" w:eastAsia="方正仿宋_GBK"/>
          <w:kern w:val="0"/>
          <w:sz w:val="32"/>
          <w:szCs w:val="32"/>
          <w:shd w:val="clear" w:color="auto" w:fill="FFFFFF"/>
          <w:lang w:bidi="ar"/>
        </w:rPr>
        <w:t>抽样过程均需拍照留证。一经抽样，立即封样，任何人不得调换。</w:t>
      </w:r>
    </w:p>
    <w:p w14:paraId="48EC32CC">
      <w:pPr>
        <w:spacing w:line="580" w:lineRule="exact"/>
        <w:ind w:firstLine="640" w:firstLineChars="200"/>
        <w:rPr>
          <w:rFonts w:hint="eastAsia" w:ascii="宋体" w:hAnsi="宋体" w:cs="宋体"/>
          <w:b/>
          <w:bCs/>
          <w:sz w:val="32"/>
          <w:szCs w:val="32"/>
        </w:rPr>
      </w:pPr>
      <w:bookmarkStart w:id="0" w:name="_GoBack"/>
      <w:bookmarkEnd w:id="0"/>
      <w:r>
        <w:rPr>
          <w:rFonts w:hint="eastAsia" w:ascii="Times New Roman" w:hAnsi="Times New Roman" w:eastAsia="方正仿宋_GBK"/>
          <w:kern w:val="0"/>
          <w:sz w:val="32"/>
          <w:szCs w:val="32"/>
          <w:shd w:val="clear" w:color="auto" w:fill="FFFFFF"/>
          <w:lang w:bidi="ar"/>
        </w:rPr>
        <w:t>3.</w:t>
      </w:r>
      <w:r>
        <w:rPr>
          <w:rFonts w:hint="eastAsia" w:ascii="方正黑体_GBK" w:hAnsi="方正仿宋_GBK" w:eastAsia="方正黑体_GBK" w:cs="方正仿宋_GBK"/>
          <w:kern w:val="0"/>
          <w:sz w:val="32"/>
          <w:szCs w:val="32"/>
          <w:shd w:val="clear" w:color="auto" w:fill="FFFFFF"/>
          <w:lang w:bidi="ar"/>
        </w:rPr>
        <w:t>检验依据</w:t>
      </w:r>
    </w:p>
    <w:p w14:paraId="2EB49921">
      <w:pPr>
        <w:snapToGrid w:val="0"/>
        <w:spacing w:line="440" w:lineRule="exact"/>
        <w:jc w:val="center"/>
        <w:rPr>
          <w:rFonts w:hint="eastAsia" w:ascii="方正仿宋_GBK" w:hAnsi="方正仿宋_GBK" w:eastAsia="方正仿宋_GBK" w:cs="方正仿宋_GBK"/>
          <w:color w:val="000000"/>
          <w:sz w:val="28"/>
          <w:szCs w:val="28"/>
        </w:rPr>
      </w:pPr>
      <w:r>
        <w:rPr>
          <w:rFonts w:ascii="Times New Roman" w:hAnsi="Times New Roman" w:eastAsia="方正仿宋_GBK"/>
          <w:color w:val="000000"/>
          <w:sz w:val="28"/>
          <w:szCs w:val="28"/>
        </w:rPr>
        <w:t xml:space="preserve">表1  </w:t>
      </w:r>
      <w:r>
        <w:rPr>
          <w:rFonts w:hint="eastAsia" w:eastAsia="方正仿宋_GBK"/>
          <w:color w:val="000000"/>
          <w:sz w:val="28"/>
          <w:szCs w:val="28"/>
        </w:rPr>
        <w:t>聚氯乙烯绝缘电缆电线</w:t>
      </w:r>
      <w:r>
        <w:rPr>
          <w:rFonts w:hint="eastAsia" w:ascii="方正仿宋_GBK" w:hAnsi="方正仿宋_GBK" w:eastAsia="方正仿宋_GBK" w:cs="方正仿宋_GBK"/>
          <w:color w:val="000000"/>
          <w:sz w:val="28"/>
          <w:szCs w:val="28"/>
        </w:rPr>
        <w:t>检验项目</w:t>
      </w:r>
    </w:p>
    <w:tbl>
      <w:tblPr>
        <w:tblStyle w:val="10"/>
        <w:tblW w:w="499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770"/>
        <w:gridCol w:w="2285"/>
        <w:gridCol w:w="2802"/>
        <w:gridCol w:w="3092"/>
      </w:tblGrid>
      <w:tr w14:paraId="298FD1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7" w:hRule="atLeast"/>
          <w:tblHeader/>
        </w:trPr>
        <w:tc>
          <w:tcPr>
            <w:tcW w:w="430" w:type="pct"/>
            <w:noWrap w:val="0"/>
            <w:tcMar>
              <w:top w:w="15" w:type="dxa"/>
              <w:left w:w="15" w:type="dxa"/>
              <w:bottom w:w="0" w:type="dxa"/>
              <w:right w:w="15" w:type="dxa"/>
            </w:tcMar>
            <w:vAlign w:val="center"/>
          </w:tcPr>
          <w:p w14:paraId="39000006">
            <w:pPr>
              <w:contextualSpacing/>
              <w:jc w:val="center"/>
              <w:rPr>
                <w:rFonts w:ascii="宋体" w:hAnsi="宋体" w:cs="宋体"/>
                <w:color w:val="000000"/>
                <w:kern w:val="0"/>
                <w:sz w:val="22"/>
              </w:rPr>
            </w:pPr>
            <w:r>
              <w:rPr>
                <w:rFonts w:hint="eastAsia" w:ascii="宋体" w:hAnsi="宋体" w:cs="宋体"/>
                <w:color w:val="000000"/>
                <w:kern w:val="0"/>
                <w:sz w:val="22"/>
              </w:rPr>
              <w:t>序号</w:t>
            </w:r>
          </w:p>
        </w:tc>
        <w:tc>
          <w:tcPr>
            <w:tcW w:w="1276" w:type="pct"/>
            <w:noWrap w:val="0"/>
            <w:tcMar>
              <w:top w:w="15" w:type="dxa"/>
              <w:left w:w="15" w:type="dxa"/>
              <w:bottom w:w="0" w:type="dxa"/>
              <w:right w:w="15" w:type="dxa"/>
            </w:tcMar>
            <w:vAlign w:val="center"/>
          </w:tcPr>
          <w:p w14:paraId="096A300A">
            <w:pPr>
              <w:contextualSpacing/>
              <w:jc w:val="center"/>
              <w:rPr>
                <w:rFonts w:ascii="宋体" w:hAnsi="宋体" w:cs="宋体"/>
                <w:color w:val="000000"/>
                <w:kern w:val="0"/>
                <w:sz w:val="22"/>
              </w:rPr>
            </w:pPr>
            <w:r>
              <w:rPr>
                <w:rFonts w:hint="eastAsia" w:ascii="宋体" w:hAnsi="宋体" w:cs="宋体"/>
                <w:color w:val="000000"/>
                <w:kern w:val="0"/>
                <w:sz w:val="22"/>
              </w:rPr>
              <w:t>检验检测项目</w:t>
            </w:r>
          </w:p>
        </w:tc>
        <w:tc>
          <w:tcPr>
            <w:tcW w:w="1565" w:type="pct"/>
            <w:noWrap w:val="0"/>
            <w:tcMar>
              <w:top w:w="15" w:type="dxa"/>
              <w:left w:w="15" w:type="dxa"/>
              <w:bottom w:w="0" w:type="dxa"/>
              <w:right w:w="15" w:type="dxa"/>
            </w:tcMar>
            <w:vAlign w:val="center"/>
          </w:tcPr>
          <w:p w14:paraId="0FA9E4EC">
            <w:pPr>
              <w:contextualSpacing/>
              <w:jc w:val="center"/>
              <w:rPr>
                <w:rFonts w:ascii="宋体" w:hAnsi="宋体" w:cs="宋体"/>
                <w:color w:val="000000"/>
                <w:kern w:val="0"/>
                <w:sz w:val="22"/>
              </w:rPr>
            </w:pPr>
            <w:r>
              <w:rPr>
                <w:rFonts w:hint="eastAsia" w:ascii="宋体" w:hAnsi="宋体" w:cs="宋体"/>
                <w:color w:val="000000"/>
                <w:kern w:val="0"/>
                <w:sz w:val="22"/>
              </w:rPr>
              <w:t>检验检测依据</w:t>
            </w:r>
          </w:p>
        </w:tc>
        <w:tc>
          <w:tcPr>
            <w:tcW w:w="1727" w:type="pct"/>
            <w:noWrap w:val="0"/>
            <w:tcMar>
              <w:top w:w="15" w:type="dxa"/>
              <w:left w:w="15" w:type="dxa"/>
              <w:bottom w:w="0" w:type="dxa"/>
              <w:right w:w="15" w:type="dxa"/>
            </w:tcMar>
            <w:vAlign w:val="center"/>
          </w:tcPr>
          <w:p w14:paraId="2623DE6A">
            <w:pPr>
              <w:contextualSpacing/>
              <w:jc w:val="center"/>
              <w:rPr>
                <w:rFonts w:ascii="宋体" w:hAnsi="宋体" w:cs="宋体"/>
                <w:color w:val="000000"/>
                <w:kern w:val="0"/>
                <w:sz w:val="22"/>
              </w:rPr>
            </w:pPr>
            <w:r>
              <w:rPr>
                <w:rFonts w:hint="eastAsia" w:ascii="宋体" w:hAnsi="宋体" w:cs="宋体"/>
                <w:color w:val="000000"/>
                <w:kern w:val="0"/>
                <w:sz w:val="22"/>
              </w:rPr>
              <w:t>检验检测方法</w:t>
            </w:r>
          </w:p>
        </w:tc>
      </w:tr>
      <w:tr w14:paraId="76F6A4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7" w:hRule="atLeast"/>
        </w:trPr>
        <w:tc>
          <w:tcPr>
            <w:tcW w:w="430" w:type="pct"/>
            <w:noWrap w:val="0"/>
            <w:tcMar>
              <w:top w:w="15" w:type="dxa"/>
              <w:left w:w="15" w:type="dxa"/>
              <w:bottom w:w="0" w:type="dxa"/>
              <w:right w:w="15" w:type="dxa"/>
            </w:tcMar>
            <w:vAlign w:val="center"/>
          </w:tcPr>
          <w:p w14:paraId="005BAF3F">
            <w:pPr>
              <w:contextualSpacing/>
              <w:jc w:val="center"/>
              <w:rPr>
                <w:rFonts w:ascii="宋体" w:hAnsi="宋体" w:cs="宋体"/>
                <w:color w:val="000000"/>
                <w:kern w:val="0"/>
                <w:sz w:val="22"/>
              </w:rPr>
            </w:pPr>
            <w:r>
              <w:rPr>
                <w:rFonts w:hint="eastAsia" w:ascii="宋体" w:hAnsi="宋体" w:cs="宋体"/>
                <w:color w:val="000000"/>
                <w:kern w:val="0"/>
                <w:sz w:val="22"/>
              </w:rPr>
              <w:t>1</w:t>
            </w:r>
          </w:p>
        </w:tc>
        <w:tc>
          <w:tcPr>
            <w:tcW w:w="2285" w:type="dxa"/>
            <w:noWrap w:val="0"/>
            <w:tcMar>
              <w:top w:w="15" w:type="dxa"/>
              <w:left w:w="15" w:type="dxa"/>
              <w:bottom w:w="0" w:type="dxa"/>
              <w:right w:w="15" w:type="dxa"/>
            </w:tcMar>
            <w:vAlign w:val="center"/>
          </w:tcPr>
          <w:p w14:paraId="7348EE7F">
            <w:pPr>
              <w:jc w:val="center"/>
              <w:rPr>
                <w:rFonts w:hint="eastAsia" w:ascii="宋体" w:hAnsi="宋体" w:eastAsia="宋体" w:cs="宋体"/>
                <w:color w:val="000000"/>
                <w:kern w:val="0"/>
                <w:sz w:val="22"/>
                <w:lang w:val="en-US" w:eastAsia="zh-CN"/>
              </w:rPr>
            </w:pPr>
            <w:r>
              <w:rPr>
                <w:rFonts w:hint="eastAsia" w:ascii="宋体" w:hAnsi="宋体" w:cs="宋体"/>
                <w:szCs w:val="21"/>
              </w:rPr>
              <w:t>导体电阻</w:t>
            </w:r>
          </w:p>
        </w:tc>
        <w:tc>
          <w:tcPr>
            <w:tcW w:w="1565" w:type="pct"/>
            <w:vMerge w:val="restart"/>
            <w:noWrap w:val="0"/>
            <w:tcMar>
              <w:top w:w="15" w:type="dxa"/>
              <w:left w:w="15" w:type="dxa"/>
              <w:bottom w:w="0" w:type="dxa"/>
              <w:right w:w="15" w:type="dxa"/>
            </w:tcMar>
            <w:vAlign w:val="center"/>
          </w:tcPr>
          <w:p w14:paraId="7313D2E5">
            <w:pPr>
              <w:contextualSpacing/>
              <w:jc w:val="center"/>
              <w:rPr>
                <w:rFonts w:hint="eastAsia" w:ascii="宋体" w:hAnsi="宋体" w:eastAsia="宋体" w:cs="宋体"/>
                <w:color w:val="000000"/>
                <w:kern w:val="0"/>
                <w:sz w:val="22"/>
              </w:rPr>
            </w:pPr>
          </w:p>
          <w:p w14:paraId="196993E1">
            <w:pPr>
              <w:contextualSpacing/>
              <w:jc w:val="center"/>
              <w:rPr>
                <w:rFonts w:hint="eastAsia" w:ascii="宋体" w:hAnsi="宋体" w:eastAsia="宋体" w:cs="宋体"/>
                <w:color w:val="000000"/>
                <w:kern w:val="0"/>
                <w:sz w:val="22"/>
              </w:rPr>
            </w:pPr>
          </w:p>
          <w:p w14:paraId="2192F4CA">
            <w:pPr>
              <w:contextualSpacing/>
              <w:jc w:val="center"/>
              <w:rPr>
                <w:rFonts w:hint="eastAsia" w:ascii="宋体" w:hAnsi="宋体" w:eastAsia="宋体" w:cs="宋体"/>
                <w:color w:val="000000"/>
                <w:kern w:val="0"/>
                <w:sz w:val="22"/>
                <w:lang w:val="en-US" w:eastAsia="zh-CN"/>
              </w:rPr>
            </w:pPr>
            <w:r>
              <w:rPr>
                <w:rFonts w:hint="eastAsia" w:ascii="宋体" w:hAnsi="宋体" w:eastAsia="宋体" w:cs="宋体"/>
                <w:color w:val="000000"/>
                <w:kern w:val="0"/>
                <w:sz w:val="22"/>
              </w:rPr>
              <w:t>GB/T 5023.1</w:t>
            </w:r>
            <w:r>
              <w:rPr>
                <w:rFonts w:hint="eastAsia" w:ascii="宋体" w:hAnsi="宋体" w:eastAsia="宋体" w:cs="宋体"/>
                <w:color w:val="000000"/>
                <w:kern w:val="0"/>
                <w:sz w:val="22"/>
                <w:lang w:val="en-US" w:eastAsia="zh-CN"/>
              </w:rPr>
              <w:t>-2008</w:t>
            </w:r>
          </w:p>
          <w:p w14:paraId="5E5FA5E4">
            <w:pPr>
              <w:contextualSpacing/>
              <w:jc w:val="center"/>
              <w:rPr>
                <w:rFonts w:hint="eastAsia" w:ascii="宋体" w:hAnsi="宋体" w:eastAsia="宋体" w:cs="宋体"/>
                <w:color w:val="000000"/>
                <w:kern w:val="0"/>
                <w:sz w:val="22"/>
                <w:lang w:val="en-US" w:eastAsia="zh-CN"/>
              </w:rPr>
            </w:pPr>
            <w:r>
              <w:rPr>
                <w:rFonts w:hint="eastAsia" w:ascii="宋体" w:hAnsi="宋体" w:eastAsia="宋体" w:cs="宋体"/>
                <w:color w:val="000000"/>
                <w:kern w:val="0"/>
                <w:sz w:val="22"/>
              </w:rPr>
              <w:t>JB/T 8734.1</w:t>
            </w:r>
            <w:r>
              <w:rPr>
                <w:rFonts w:hint="eastAsia" w:ascii="宋体" w:hAnsi="宋体" w:eastAsia="宋体" w:cs="宋体"/>
                <w:color w:val="000000"/>
                <w:kern w:val="0"/>
                <w:sz w:val="22"/>
                <w:lang w:val="en-US" w:eastAsia="zh-CN"/>
              </w:rPr>
              <w:t>-2016</w:t>
            </w:r>
          </w:p>
          <w:p w14:paraId="6FAE1DF9">
            <w:pPr>
              <w:contextualSpacing/>
              <w:jc w:val="center"/>
              <w:rPr>
                <w:rFonts w:hint="eastAsia" w:ascii="宋体" w:hAnsi="宋体" w:eastAsia="宋体" w:cs="宋体"/>
                <w:color w:val="000000"/>
                <w:kern w:val="0"/>
                <w:sz w:val="22"/>
                <w:lang w:val="en-US" w:eastAsia="zh-CN"/>
              </w:rPr>
            </w:pPr>
          </w:p>
          <w:p w14:paraId="6B23882A">
            <w:pPr>
              <w:contextualSpacing/>
              <w:jc w:val="center"/>
              <w:rPr>
                <w:rFonts w:hint="eastAsia" w:ascii="宋体" w:hAnsi="宋体" w:eastAsia="宋体" w:cs="宋体"/>
                <w:color w:val="000000"/>
                <w:kern w:val="0"/>
                <w:sz w:val="22"/>
                <w:lang w:val="en-US" w:eastAsia="zh-CN"/>
              </w:rPr>
            </w:pPr>
          </w:p>
          <w:p w14:paraId="3C04FEA3">
            <w:pPr>
              <w:contextualSpacing/>
              <w:jc w:val="center"/>
              <w:rPr>
                <w:rFonts w:hint="eastAsia" w:ascii="宋体" w:hAnsi="宋体" w:eastAsia="宋体" w:cs="宋体"/>
                <w:color w:val="000000"/>
                <w:kern w:val="0"/>
                <w:sz w:val="22"/>
                <w:lang w:val="en-US" w:eastAsia="zh-CN"/>
              </w:rPr>
            </w:pPr>
          </w:p>
          <w:p w14:paraId="50C53159">
            <w:pPr>
              <w:contextualSpacing/>
              <w:jc w:val="center"/>
              <w:rPr>
                <w:rFonts w:hint="eastAsia" w:ascii="宋体" w:hAnsi="宋体" w:eastAsia="宋体" w:cs="宋体"/>
                <w:color w:val="000000"/>
                <w:kern w:val="0"/>
                <w:sz w:val="22"/>
                <w:lang w:val="en-US" w:eastAsia="zh-CN"/>
              </w:rPr>
            </w:pPr>
          </w:p>
          <w:p w14:paraId="5F92DF10">
            <w:pPr>
              <w:contextualSpacing/>
              <w:jc w:val="center"/>
              <w:rPr>
                <w:rFonts w:hint="eastAsia" w:ascii="宋体" w:hAnsi="宋体" w:eastAsia="宋体" w:cs="宋体"/>
                <w:color w:val="000000"/>
                <w:kern w:val="0"/>
                <w:sz w:val="22"/>
                <w:lang w:val="en-US" w:eastAsia="zh-CN"/>
              </w:rPr>
            </w:pPr>
          </w:p>
          <w:p w14:paraId="7AAB08A3">
            <w:pPr>
              <w:contextualSpacing/>
              <w:jc w:val="both"/>
              <w:rPr>
                <w:rFonts w:hint="eastAsia" w:ascii="宋体" w:hAnsi="宋体" w:eastAsia="宋体" w:cs="宋体"/>
                <w:color w:val="000000"/>
                <w:kern w:val="0"/>
                <w:sz w:val="22"/>
                <w:lang w:val="en-US" w:eastAsia="zh-CN"/>
              </w:rPr>
            </w:pPr>
          </w:p>
          <w:p w14:paraId="772996CD">
            <w:pPr>
              <w:contextualSpacing/>
              <w:jc w:val="center"/>
              <w:rPr>
                <w:rFonts w:hint="eastAsia" w:ascii="宋体" w:hAnsi="宋体" w:eastAsia="宋体" w:cs="宋体"/>
                <w:color w:val="000000"/>
                <w:kern w:val="0"/>
                <w:sz w:val="22"/>
              </w:rPr>
            </w:pPr>
          </w:p>
          <w:p w14:paraId="6B13BC6F">
            <w:pPr>
              <w:contextualSpacing/>
              <w:jc w:val="center"/>
              <w:rPr>
                <w:rFonts w:hint="eastAsia" w:ascii="宋体" w:hAnsi="宋体" w:eastAsia="宋体" w:cs="宋体"/>
                <w:color w:val="000000"/>
                <w:kern w:val="0"/>
                <w:sz w:val="22"/>
              </w:rPr>
            </w:pPr>
          </w:p>
          <w:p w14:paraId="41158627">
            <w:pPr>
              <w:contextualSpacing/>
              <w:jc w:val="center"/>
              <w:rPr>
                <w:rFonts w:hint="eastAsia" w:ascii="宋体" w:hAnsi="宋体" w:eastAsia="宋体" w:cs="宋体"/>
                <w:color w:val="000000"/>
                <w:kern w:val="0"/>
                <w:sz w:val="22"/>
              </w:rPr>
            </w:pPr>
          </w:p>
          <w:p w14:paraId="5E28B43F">
            <w:pPr>
              <w:contextualSpacing/>
              <w:jc w:val="center"/>
              <w:rPr>
                <w:rFonts w:hint="eastAsia" w:ascii="宋体" w:hAnsi="宋体" w:eastAsia="宋体" w:cs="宋体"/>
                <w:color w:val="000000"/>
                <w:kern w:val="0"/>
                <w:sz w:val="22"/>
              </w:rPr>
            </w:pPr>
          </w:p>
          <w:p w14:paraId="027CB365">
            <w:pPr>
              <w:contextualSpacing/>
              <w:jc w:val="center"/>
              <w:rPr>
                <w:rFonts w:hint="eastAsia" w:ascii="宋体" w:hAnsi="宋体" w:eastAsia="宋体" w:cs="宋体"/>
                <w:color w:val="000000"/>
                <w:kern w:val="0"/>
                <w:sz w:val="22"/>
              </w:rPr>
            </w:pPr>
          </w:p>
          <w:p w14:paraId="2C0A0D76">
            <w:pPr>
              <w:contextualSpacing/>
              <w:jc w:val="center"/>
              <w:rPr>
                <w:rFonts w:hint="eastAsia" w:ascii="宋体" w:hAnsi="宋体" w:eastAsia="宋体" w:cs="宋体"/>
                <w:color w:val="000000"/>
                <w:kern w:val="0"/>
                <w:sz w:val="22"/>
              </w:rPr>
            </w:pPr>
          </w:p>
          <w:p w14:paraId="37EA579B">
            <w:pPr>
              <w:contextualSpacing/>
              <w:jc w:val="center"/>
              <w:rPr>
                <w:rFonts w:hint="eastAsia" w:ascii="宋体" w:hAnsi="宋体" w:eastAsia="宋体" w:cs="宋体"/>
                <w:color w:val="000000"/>
                <w:kern w:val="0"/>
                <w:sz w:val="22"/>
                <w:lang w:val="en-US" w:eastAsia="zh-CN"/>
              </w:rPr>
            </w:pPr>
            <w:r>
              <w:rPr>
                <w:rFonts w:hint="eastAsia" w:ascii="宋体" w:hAnsi="宋体" w:eastAsia="宋体" w:cs="宋体"/>
                <w:color w:val="000000"/>
                <w:kern w:val="0"/>
                <w:sz w:val="22"/>
              </w:rPr>
              <w:t>GB/T 5023.1</w:t>
            </w:r>
            <w:r>
              <w:rPr>
                <w:rFonts w:hint="eastAsia" w:ascii="宋体" w:hAnsi="宋体" w:eastAsia="宋体" w:cs="宋体"/>
                <w:color w:val="000000"/>
                <w:kern w:val="0"/>
                <w:sz w:val="22"/>
                <w:lang w:val="en-US" w:eastAsia="zh-CN"/>
              </w:rPr>
              <w:t>-2008</w:t>
            </w:r>
          </w:p>
          <w:p w14:paraId="52B53C07">
            <w:pPr>
              <w:contextualSpacing/>
              <w:jc w:val="center"/>
              <w:rPr>
                <w:rFonts w:hint="default" w:ascii="宋体" w:hAnsi="宋体" w:eastAsia="宋体" w:cs="宋体"/>
                <w:color w:val="000000"/>
                <w:kern w:val="0"/>
                <w:sz w:val="22"/>
                <w:szCs w:val="24"/>
                <w:lang w:val="en-US" w:eastAsia="zh-CN" w:bidi="ar-SA"/>
              </w:rPr>
            </w:pPr>
            <w:r>
              <w:rPr>
                <w:rFonts w:hint="eastAsia" w:ascii="宋体" w:hAnsi="宋体" w:eastAsia="宋体" w:cs="宋体"/>
                <w:color w:val="000000"/>
                <w:kern w:val="0"/>
                <w:sz w:val="22"/>
              </w:rPr>
              <w:t>JB/T 8734.1</w:t>
            </w:r>
            <w:r>
              <w:rPr>
                <w:rFonts w:hint="eastAsia" w:ascii="宋体" w:hAnsi="宋体" w:eastAsia="宋体" w:cs="宋体"/>
                <w:color w:val="000000"/>
                <w:kern w:val="0"/>
                <w:sz w:val="22"/>
                <w:lang w:val="en-US" w:eastAsia="zh-CN"/>
              </w:rPr>
              <w:t>-2016</w:t>
            </w:r>
          </w:p>
        </w:tc>
        <w:tc>
          <w:tcPr>
            <w:tcW w:w="3092" w:type="dxa"/>
            <w:noWrap w:val="0"/>
            <w:tcMar>
              <w:top w:w="15" w:type="dxa"/>
              <w:left w:w="15" w:type="dxa"/>
              <w:bottom w:w="0" w:type="dxa"/>
              <w:right w:w="15" w:type="dxa"/>
            </w:tcMar>
            <w:vAlign w:val="center"/>
          </w:tcPr>
          <w:p w14:paraId="555C7F59">
            <w:pPr>
              <w:jc w:val="center"/>
              <w:rPr>
                <w:rFonts w:ascii="宋体" w:hAnsi="宋体" w:cs="宋体"/>
                <w:szCs w:val="21"/>
              </w:rPr>
            </w:pPr>
            <w:r>
              <w:rPr>
                <w:rFonts w:hint="eastAsia" w:ascii="宋体" w:hAnsi="宋体" w:cs="宋体"/>
                <w:szCs w:val="21"/>
              </w:rPr>
              <w:t>GB/T 3048.4</w:t>
            </w:r>
          </w:p>
          <w:p w14:paraId="464AC86B">
            <w:pPr>
              <w:jc w:val="center"/>
              <w:rPr>
                <w:rFonts w:hint="eastAsia" w:ascii="宋体" w:hAnsi="宋体" w:eastAsia="宋体" w:cs="宋体"/>
                <w:color w:val="000000"/>
                <w:kern w:val="0"/>
                <w:sz w:val="22"/>
                <w:lang w:eastAsia="zh-CN"/>
              </w:rPr>
            </w:pPr>
            <w:r>
              <w:rPr>
                <w:rFonts w:hint="eastAsia" w:ascii="宋体" w:hAnsi="宋体" w:cs="宋体"/>
                <w:szCs w:val="21"/>
              </w:rPr>
              <w:t>GB/T 5023.2</w:t>
            </w:r>
          </w:p>
        </w:tc>
      </w:tr>
      <w:tr w14:paraId="63E83A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7" w:hRule="atLeast"/>
        </w:trPr>
        <w:tc>
          <w:tcPr>
            <w:tcW w:w="430" w:type="pct"/>
            <w:noWrap w:val="0"/>
            <w:tcMar>
              <w:top w:w="15" w:type="dxa"/>
              <w:left w:w="15" w:type="dxa"/>
              <w:bottom w:w="0" w:type="dxa"/>
              <w:right w:w="15" w:type="dxa"/>
            </w:tcMar>
            <w:vAlign w:val="center"/>
          </w:tcPr>
          <w:p w14:paraId="73F28849">
            <w:pPr>
              <w:contextualSpacing/>
              <w:jc w:val="center"/>
              <w:rPr>
                <w:rFonts w:ascii="宋体" w:hAnsi="宋体" w:cs="宋体"/>
                <w:color w:val="000000"/>
                <w:kern w:val="0"/>
                <w:sz w:val="22"/>
              </w:rPr>
            </w:pPr>
            <w:r>
              <w:rPr>
                <w:rFonts w:hint="eastAsia" w:ascii="宋体" w:hAnsi="宋体" w:cs="宋体"/>
                <w:color w:val="000000"/>
                <w:kern w:val="0"/>
                <w:sz w:val="22"/>
              </w:rPr>
              <w:t>2</w:t>
            </w:r>
          </w:p>
        </w:tc>
        <w:tc>
          <w:tcPr>
            <w:tcW w:w="2285" w:type="dxa"/>
            <w:noWrap w:val="0"/>
            <w:tcMar>
              <w:top w:w="15" w:type="dxa"/>
              <w:left w:w="15" w:type="dxa"/>
              <w:bottom w:w="0" w:type="dxa"/>
              <w:right w:w="15" w:type="dxa"/>
            </w:tcMar>
            <w:vAlign w:val="center"/>
          </w:tcPr>
          <w:p w14:paraId="08B9824F">
            <w:pPr>
              <w:jc w:val="center"/>
              <w:rPr>
                <w:rFonts w:hint="eastAsia" w:ascii="宋体" w:hAnsi="宋体" w:eastAsia="宋体" w:cs="宋体"/>
                <w:color w:val="000000"/>
                <w:kern w:val="0"/>
                <w:sz w:val="22"/>
                <w:lang w:val="en-US" w:eastAsia="zh-CN"/>
              </w:rPr>
            </w:pPr>
            <w:r>
              <w:rPr>
                <w:rFonts w:hint="eastAsia" w:ascii="宋体" w:hAnsi="宋体" w:cs="宋体"/>
                <w:szCs w:val="21"/>
              </w:rPr>
              <w:t>成品电缆电压试验</w:t>
            </w:r>
          </w:p>
        </w:tc>
        <w:tc>
          <w:tcPr>
            <w:tcW w:w="1565" w:type="pct"/>
            <w:vMerge w:val="continue"/>
            <w:noWrap w:val="0"/>
            <w:tcMar>
              <w:top w:w="15" w:type="dxa"/>
              <w:left w:w="15" w:type="dxa"/>
              <w:bottom w:w="0" w:type="dxa"/>
              <w:right w:w="15" w:type="dxa"/>
            </w:tcMar>
            <w:vAlign w:val="center"/>
          </w:tcPr>
          <w:p w14:paraId="7B13D501">
            <w:pPr>
              <w:contextualSpacing/>
              <w:jc w:val="center"/>
              <w:rPr>
                <w:rFonts w:ascii="宋体" w:hAnsi="宋体" w:cs="宋体"/>
                <w:color w:val="000000"/>
                <w:kern w:val="0"/>
                <w:sz w:val="22"/>
              </w:rPr>
            </w:pPr>
          </w:p>
        </w:tc>
        <w:tc>
          <w:tcPr>
            <w:tcW w:w="3092" w:type="dxa"/>
            <w:noWrap w:val="0"/>
            <w:tcMar>
              <w:top w:w="15" w:type="dxa"/>
              <w:left w:w="15" w:type="dxa"/>
              <w:bottom w:w="0" w:type="dxa"/>
              <w:right w:w="15" w:type="dxa"/>
            </w:tcMar>
            <w:vAlign w:val="center"/>
          </w:tcPr>
          <w:p w14:paraId="25AED842">
            <w:pPr>
              <w:jc w:val="center"/>
              <w:rPr>
                <w:rFonts w:ascii="宋体" w:hAnsi="宋体" w:cs="宋体"/>
                <w:szCs w:val="21"/>
              </w:rPr>
            </w:pPr>
            <w:r>
              <w:rPr>
                <w:rFonts w:hint="eastAsia" w:ascii="宋体" w:hAnsi="宋体" w:cs="宋体"/>
                <w:szCs w:val="21"/>
              </w:rPr>
              <w:t>GB/T 3048.8</w:t>
            </w:r>
          </w:p>
          <w:p w14:paraId="42251A06">
            <w:pPr>
              <w:jc w:val="center"/>
              <w:rPr>
                <w:rFonts w:hint="eastAsia" w:ascii="宋体" w:hAnsi="宋体" w:eastAsia="宋体" w:cs="宋体"/>
                <w:color w:val="000000"/>
                <w:kern w:val="0"/>
                <w:sz w:val="22"/>
                <w:lang w:eastAsia="zh-CN"/>
              </w:rPr>
            </w:pPr>
            <w:r>
              <w:rPr>
                <w:rFonts w:hint="eastAsia" w:ascii="宋体" w:hAnsi="宋体" w:cs="宋体"/>
                <w:szCs w:val="21"/>
              </w:rPr>
              <w:t>GB/T 5023.2</w:t>
            </w:r>
          </w:p>
        </w:tc>
      </w:tr>
      <w:tr w14:paraId="12E7C6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7" w:hRule="atLeast"/>
        </w:trPr>
        <w:tc>
          <w:tcPr>
            <w:tcW w:w="430" w:type="pct"/>
            <w:noWrap w:val="0"/>
            <w:tcMar>
              <w:top w:w="15" w:type="dxa"/>
              <w:left w:w="15" w:type="dxa"/>
              <w:bottom w:w="0" w:type="dxa"/>
              <w:right w:w="15" w:type="dxa"/>
            </w:tcMar>
            <w:vAlign w:val="center"/>
          </w:tcPr>
          <w:p w14:paraId="66FF9270">
            <w:pPr>
              <w:contextualSpacing/>
              <w:jc w:val="center"/>
              <w:rPr>
                <w:rFonts w:ascii="宋体" w:hAnsi="宋体" w:cs="宋体"/>
                <w:color w:val="000000"/>
                <w:kern w:val="0"/>
                <w:sz w:val="22"/>
              </w:rPr>
            </w:pPr>
            <w:r>
              <w:rPr>
                <w:rFonts w:hint="eastAsia" w:ascii="宋体" w:hAnsi="宋体" w:cs="宋体"/>
                <w:color w:val="000000"/>
                <w:kern w:val="0"/>
                <w:sz w:val="22"/>
              </w:rPr>
              <w:t>3</w:t>
            </w:r>
          </w:p>
        </w:tc>
        <w:tc>
          <w:tcPr>
            <w:tcW w:w="2285" w:type="dxa"/>
            <w:noWrap w:val="0"/>
            <w:tcMar>
              <w:top w:w="15" w:type="dxa"/>
              <w:left w:w="15" w:type="dxa"/>
              <w:bottom w:w="0" w:type="dxa"/>
              <w:right w:w="15" w:type="dxa"/>
            </w:tcMar>
            <w:vAlign w:val="center"/>
          </w:tcPr>
          <w:p w14:paraId="16510006">
            <w:pPr>
              <w:jc w:val="center"/>
              <w:rPr>
                <w:rFonts w:hint="eastAsia" w:ascii="宋体" w:hAnsi="宋体" w:eastAsia="宋体" w:cs="宋体"/>
                <w:color w:val="000000"/>
                <w:kern w:val="0"/>
                <w:sz w:val="22"/>
                <w:lang w:val="en-US" w:eastAsia="zh-CN"/>
              </w:rPr>
            </w:pPr>
            <w:r>
              <w:rPr>
                <w:rFonts w:hint="eastAsia" w:ascii="宋体" w:hAnsi="宋体" w:cs="宋体"/>
                <w:szCs w:val="21"/>
              </w:rPr>
              <w:t>绝缘线芯电压试验</w:t>
            </w:r>
          </w:p>
        </w:tc>
        <w:tc>
          <w:tcPr>
            <w:tcW w:w="1565" w:type="pct"/>
            <w:vMerge w:val="continue"/>
            <w:noWrap w:val="0"/>
            <w:tcMar>
              <w:top w:w="15" w:type="dxa"/>
              <w:left w:w="15" w:type="dxa"/>
              <w:bottom w:w="0" w:type="dxa"/>
              <w:right w:w="15" w:type="dxa"/>
            </w:tcMar>
            <w:vAlign w:val="center"/>
          </w:tcPr>
          <w:p w14:paraId="70D864F2">
            <w:pPr>
              <w:contextualSpacing/>
              <w:jc w:val="center"/>
              <w:rPr>
                <w:rFonts w:ascii="宋体" w:hAnsi="宋体" w:cs="宋体"/>
                <w:color w:val="000000"/>
                <w:kern w:val="0"/>
                <w:sz w:val="22"/>
              </w:rPr>
            </w:pPr>
          </w:p>
        </w:tc>
        <w:tc>
          <w:tcPr>
            <w:tcW w:w="3092" w:type="dxa"/>
            <w:noWrap w:val="0"/>
            <w:tcMar>
              <w:top w:w="15" w:type="dxa"/>
              <w:left w:w="15" w:type="dxa"/>
              <w:bottom w:w="0" w:type="dxa"/>
              <w:right w:w="15" w:type="dxa"/>
            </w:tcMar>
            <w:vAlign w:val="center"/>
          </w:tcPr>
          <w:p w14:paraId="69653B6A">
            <w:pPr>
              <w:jc w:val="center"/>
              <w:rPr>
                <w:rFonts w:ascii="宋体" w:hAnsi="宋体" w:cs="宋体"/>
                <w:szCs w:val="21"/>
              </w:rPr>
            </w:pPr>
            <w:r>
              <w:rPr>
                <w:rFonts w:hint="eastAsia" w:ascii="宋体" w:hAnsi="宋体" w:cs="宋体"/>
                <w:szCs w:val="21"/>
              </w:rPr>
              <w:t>GB/T 3048.8</w:t>
            </w:r>
          </w:p>
          <w:p w14:paraId="40DA47C9">
            <w:pPr>
              <w:jc w:val="center"/>
              <w:rPr>
                <w:rFonts w:hint="eastAsia" w:ascii="宋体" w:hAnsi="宋体" w:eastAsia="宋体" w:cs="宋体"/>
                <w:color w:val="000000"/>
                <w:kern w:val="0"/>
                <w:sz w:val="22"/>
                <w:lang w:eastAsia="zh-CN"/>
              </w:rPr>
            </w:pPr>
            <w:r>
              <w:rPr>
                <w:rFonts w:hint="eastAsia" w:ascii="宋体" w:hAnsi="宋体" w:cs="宋体"/>
                <w:szCs w:val="21"/>
              </w:rPr>
              <w:t>GB/T 5023.2</w:t>
            </w:r>
          </w:p>
        </w:tc>
      </w:tr>
      <w:tr w14:paraId="5DF910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7" w:hRule="atLeast"/>
        </w:trPr>
        <w:tc>
          <w:tcPr>
            <w:tcW w:w="430" w:type="pct"/>
            <w:noWrap w:val="0"/>
            <w:tcMar>
              <w:top w:w="15" w:type="dxa"/>
              <w:left w:w="15" w:type="dxa"/>
              <w:bottom w:w="0" w:type="dxa"/>
              <w:right w:w="15" w:type="dxa"/>
            </w:tcMar>
            <w:vAlign w:val="center"/>
          </w:tcPr>
          <w:p w14:paraId="7C239074">
            <w:pPr>
              <w:contextualSpacing/>
              <w:jc w:val="center"/>
              <w:rPr>
                <w:rFonts w:ascii="宋体" w:hAnsi="宋体" w:cs="宋体"/>
                <w:color w:val="000000"/>
                <w:kern w:val="0"/>
                <w:sz w:val="22"/>
              </w:rPr>
            </w:pPr>
            <w:r>
              <w:rPr>
                <w:rFonts w:hint="eastAsia" w:ascii="宋体" w:hAnsi="宋体" w:cs="宋体"/>
                <w:color w:val="000000"/>
                <w:kern w:val="0"/>
                <w:sz w:val="22"/>
              </w:rPr>
              <w:t>4</w:t>
            </w:r>
          </w:p>
        </w:tc>
        <w:tc>
          <w:tcPr>
            <w:tcW w:w="2285" w:type="dxa"/>
            <w:noWrap w:val="0"/>
            <w:tcMar>
              <w:top w:w="15" w:type="dxa"/>
              <w:left w:w="15" w:type="dxa"/>
              <w:bottom w:w="0" w:type="dxa"/>
              <w:right w:w="15" w:type="dxa"/>
            </w:tcMar>
            <w:vAlign w:val="center"/>
          </w:tcPr>
          <w:p w14:paraId="4458956A">
            <w:pPr>
              <w:jc w:val="center"/>
              <w:rPr>
                <w:rFonts w:hint="eastAsia" w:ascii="宋体" w:hAnsi="宋体" w:eastAsia="宋体" w:cs="宋体"/>
                <w:color w:val="000000"/>
                <w:kern w:val="0"/>
                <w:sz w:val="22"/>
                <w:lang w:val="en-US" w:eastAsia="zh-CN"/>
              </w:rPr>
            </w:pPr>
            <w:r>
              <w:rPr>
                <w:rFonts w:hint="eastAsia" w:ascii="宋体" w:hAnsi="宋体" w:cs="宋体"/>
                <w:szCs w:val="21"/>
              </w:rPr>
              <w:t>绝缘厚度</w:t>
            </w:r>
          </w:p>
        </w:tc>
        <w:tc>
          <w:tcPr>
            <w:tcW w:w="1565" w:type="pct"/>
            <w:vMerge w:val="continue"/>
            <w:noWrap w:val="0"/>
            <w:tcMar>
              <w:top w:w="15" w:type="dxa"/>
              <w:left w:w="15" w:type="dxa"/>
              <w:bottom w:w="0" w:type="dxa"/>
              <w:right w:w="15" w:type="dxa"/>
            </w:tcMar>
            <w:vAlign w:val="center"/>
          </w:tcPr>
          <w:p w14:paraId="3BB73EAE">
            <w:pPr>
              <w:contextualSpacing/>
              <w:jc w:val="center"/>
              <w:rPr>
                <w:rFonts w:ascii="宋体" w:hAnsi="宋体" w:cs="宋体"/>
                <w:color w:val="000000"/>
                <w:kern w:val="0"/>
                <w:sz w:val="22"/>
              </w:rPr>
            </w:pPr>
          </w:p>
        </w:tc>
        <w:tc>
          <w:tcPr>
            <w:tcW w:w="3092" w:type="dxa"/>
            <w:noWrap w:val="0"/>
            <w:tcMar>
              <w:top w:w="15" w:type="dxa"/>
              <w:left w:w="15" w:type="dxa"/>
              <w:bottom w:w="0" w:type="dxa"/>
              <w:right w:w="15" w:type="dxa"/>
            </w:tcMar>
            <w:vAlign w:val="center"/>
          </w:tcPr>
          <w:p w14:paraId="1046F6DF">
            <w:pPr>
              <w:jc w:val="center"/>
              <w:rPr>
                <w:rFonts w:ascii="宋体" w:hAnsi="宋体" w:cs="宋体"/>
                <w:szCs w:val="21"/>
              </w:rPr>
            </w:pPr>
            <w:r>
              <w:rPr>
                <w:rFonts w:hint="eastAsia" w:ascii="宋体" w:hAnsi="宋体" w:cs="宋体"/>
                <w:szCs w:val="21"/>
              </w:rPr>
              <w:t>GB/T 5023.2</w:t>
            </w:r>
          </w:p>
          <w:p w14:paraId="04632956">
            <w:pPr>
              <w:jc w:val="center"/>
              <w:rPr>
                <w:rFonts w:hint="eastAsia" w:ascii="宋体" w:hAnsi="宋体" w:eastAsia="宋体" w:cs="宋体"/>
                <w:color w:val="000000"/>
                <w:kern w:val="0"/>
                <w:sz w:val="22"/>
                <w:lang w:eastAsia="zh-CN"/>
              </w:rPr>
            </w:pPr>
            <w:r>
              <w:rPr>
                <w:rFonts w:hint="eastAsia" w:ascii="宋体" w:hAnsi="宋体" w:cs="宋体"/>
                <w:szCs w:val="21"/>
              </w:rPr>
              <w:t>GB/T 2951.11</w:t>
            </w:r>
          </w:p>
        </w:tc>
      </w:tr>
      <w:tr w14:paraId="6B2F7D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7" w:hRule="atLeast"/>
        </w:trPr>
        <w:tc>
          <w:tcPr>
            <w:tcW w:w="430" w:type="pct"/>
            <w:noWrap w:val="0"/>
            <w:tcMar>
              <w:top w:w="15" w:type="dxa"/>
              <w:left w:w="15" w:type="dxa"/>
              <w:bottom w:w="0" w:type="dxa"/>
              <w:right w:w="15" w:type="dxa"/>
            </w:tcMar>
            <w:vAlign w:val="center"/>
          </w:tcPr>
          <w:p w14:paraId="5F2C3BCA">
            <w:pPr>
              <w:contextualSpacing/>
              <w:jc w:val="center"/>
              <w:rPr>
                <w:rFonts w:ascii="宋体" w:hAnsi="宋体" w:cs="宋体"/>
                <w:color w:val="000000"/>
                <w:kern w:val="0"/>
                <w:sz w:val="22"/>
              </w:rPr>
            </w:pPr>
            <w:r>
              <w:rPr>
                <w:rFonts w:hint="eastAsia" w:ascii="宋体" w:hAnsi="宋体" w:cs="宋体"/>
                <w:color w:val="000000"/>
                <w:kern w:val="0"/>
                <w:sz w:val="22"/>
              </w:rPr>
              <w:t>5</w:t>
            </w:r>
          </w:p>
        </w:tc>
        <w:tc>
          <w:tcPr>
            <w:tcW w:w="2285" w:type="dxa"/>
            <w:noWrap w:val="0"/>
            <w:tcMar>
              <w:top w:w="15" w:type="dxa"/>
              <w:left w:w="15" w:type="dxa"/>
              <w:bottom w:w="0" w:type="dxa"/>
              <w:right w:w="15" w:type="dxa"/>
            </w:tcMar>
            <w:vAlign w:val="center"/>
          </w:tcPr>
          <w:p w14:paraId="4A67BF92">
            <w:pPr>
              <w:jc w:val="center"/>
              <w:rPr>
                <w:rFonts w:hint="eastAsia" w:ascii="宋体" w:hAnsi="宋体" w:eastAsia="宋体" w:cs="宋体"/>
                <w:color w:val="000000"/>
                <w:kern w:val="0"/>
                <w:sz w:val="22"/>
                <w:lang w:val="en-US" w:eastAsia="zh-CN"/>
              </w:rPr>
            </w:pPr>
            <w:r>
              <w:rPr>
                <w:rFonts w:hint="eastAsia" w:ascii="宋体" w:hAnsi="宋体" w:cs="宋体"/>
                <w:szCs w:val="21"/>
              </w:rPr>
              <w:t>护套厚度</w:t>
            </w:r>
          </w:p>
        </w:tc>
        <w:tc>
          <w:tcPr>
            <w:tcW w:w="1565" w:type="pct"/>
            <w:vMerge w:val="continue"/>
            <w:noWrap w:val="0"/>
            <w:tcMar>
              <w:top w:w="15" w:type="dxa"/>
              <w:left w:w="15" w:type="dxa"/>
              <w:bottom w:w="0" w:type="dxa"/>
              <w:right w:w="15" w:type="dxa"/>
            </w:tcMar>
            <w:vAlign w:val="center"/>
          </w:tcPr>
          <w:p w14:paraId="420D051F">
            <w:pPr>
              <w:contextualSpacing/>
              <w:jc w:val="center"/>
              <w:rPr>
                <w:rFonts w:ascii="宋体" w:hAnsi="宋体" w:cs="宋体"/>
                <w:color w:val="000000"/>
                <w:kern w:val="0"/>
                <w:sz w:val="22"/>
              </w:rPr>
            </w:pPr>
          </w:p>
        </w:tc>
        <w:tc>
          <w:tcPr>
            <w:tcW w:w="3092" w:type="dxa"/>
            <w:noWrap w:val="0"/>
            <w:tcMar>
              <w:top w:w="15" w:type="dxa"/>
              <w:left w:w="15" w:type="dxa"/>
              <w:bottom w:w="0" w:type="dxa"/>
              <w:right w:w="15" w:type="dxa"/>
            </w:tcMar>
            <w:vAlign w:val="center"/>
          </w:tcPr>
          <w:p w14:paraId="6D06185E">
            <w:pPr>
              <w:jc w:val="center"/>
              <w:rPr>
                <w:rFonts w:ascii="宋体" w:hAnsi="宋体" w:cs="宋体"/>
                <w:szCs w:val="21"/>
              </w:rPr>
            </w:pPr>
            <w:r>
              <w:rPr>
                <w:rFonts w:hint="eastAsia" w:ascii="宋体" w:hAnsi="宋体" w:cs="宋体"/>
                <w:szCs w:val="21"/>
              </w:rPr>
              <w:t>GB/T 5023.2</w:t>
            </w:r>
          </w:p>
          <w:p w14:paraId="59E9B5BF">
            <w:pPr>
              <w:jc w:val="center"/>
              <w:rPr>
                <w:rFonts w:hint="eastAsia" w:ascii="宋体" w:hAnsi="宋体" w:eastAsia="宋体" w:cs="宋体"/>
                <w:color w:val="000000"/>
                <w:kern w:val="0"/>
                <w:sz w:val="22"/>
                <w:lang w:eastAsia="zh-CN"/>
              </w:rPr>
            </w:pPr>
            <w:r>
              <w:rPr>
                <w:rFonts w:hint="eastAsia" w:ascii="宋体" w:hAnsi="宋体" w:cs="宋体"/>
                <w:szCs w:val="21"/>
              </w:rPr>
              <w:t>GB/T 2951.11</w:t>
            </w:r>
          </w:p>
        </w:tc>
      </w:tr>
      <w:tr w14:paraId="37ED67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7" w:hRule="atLeast"/>
        </w:trPr>
        <w:tc>
          <w:tcPr>
            <w:tcW w:w="430" w:type="pct"/>
            <w:noWrap w:val="0"/>
            <w:tcMar>
              <w:top w:w="15" w:type="dxa"/>
              <w:left w:w="15" w:type="dxa"/>
              <w:bottom w:w="0" w:type="dxa"/>
              <w:right w:w="15" w:type="dxa"/>
            </w:tcMar>
            <w:vAlign w:val="center"/>
          </w:tcPr>
          <w:p w14:paraId="23DA5F41">
            <w:pPr>
              <w:contextualSpacing/>
              <w:jc w:val="center"/>
              <w:rPr>
                <w:rFonts w:ascii="宋体" w:hAnsi="宋体" w:cs="宋体"/>
                <w:color w:val="000000"/>
                <w:kern w:val="0"/>
                <w:sz w:val="22"/>
              </w:rPr>
            </w:pPr>
            <w:r>
              <w:rPr>
                <w:rFonts w:hint="eastAsia" w:ascii="宋体" w:hAnsi="宋体" w:cs="宋体"/>
                <w:color w:val="000000"/>
                <w:kern w:val="0"/>
                <w:sz w:val="22"/>
              </w:rPr>
              <w:t>6</w:t>
            </w:r>
          </w:p>
        </w:tc>
        <w:tc>
          <w:tcPr>
            <w:tcW w:w="2285" w:type="dxa"/>
            <w:noWrap w:val="0"/>
            <w:tcMar>
              <w:top w:w="15" w:type="dxa"/>
              <w:left w:w="15" w:type="dxa"/>
              <w:bottom w:w="0" w:type="dxa"/>
              <w:right w:w="15" w:type="dxa"/>
            </w:tcMar>
            <w:vAlign w:val="center"/>
          </w:tcPr>
          <w:p w14:paraId="3C2C6744">
            <w:pPr>
              <w:jc w:val="center"/>
              <w:rPr>
                <w:rFonts w:hint="eastAsia" w:ascii="宋体" w:hAnsi="宋体" w:eastAsia="宋体" w:cs="宋体"/>
                <w:color w:val="000000"/>
                <w:kern w:val="0"/>
                <w:sz w:val="22"/>
                <w:lang w:val="en-US" w:eastAsia="zh-CN"/>
              </w:rPr>
            </w:pPr>
            <w:r>
              <w:rPr>
                <w:rFonts w:hint="eastAsia" w:ascii="宋体" w:hAnsi="宋体" w:cs="宋体"/>
                <w:szCs w:val="21"/>
              </w:rPr>
              <w:t>绝缘老化前</w:t>
            </w:r>
            <w:r>
              <w:rPr>
                <w:rFonts w:hint="eastAsia" w:ascii="宋体" w:hAnsi="宋体" w:cs="宋体"/>
                <w:szCs w:val="21"/>
                <w:lang w:val="en-US" w:eastAsia="zh-CN"/>
              </w:rPr>
              <w:t>拉力试验</w:t>
            </w:r>
          </w:p>
        </w:tc>
        <w:tc>
          <w:tcPr>
            <w:tcW w:w="1565" w:type="pct"/>
            <w:vMerge w:val="continue"/>
            <w:noWrap w:val="0"/>
            <w:tcMar>
              <w:top w:w="15" w:type="dxa"/>
              <w:left w:w="15" w:type="dxa"/>
              <w:bottom w:w="0" w:type="dxa"/>
              <w:right w:w="15" w:type="dxa"/>
            </w:tcMar>
            <w:vAlign w:val="center"/>
          </w:tcPr>
          <w:p w14:paraId="7BAB49AA">
            <w:pPr>
              <w:contextualSpacing/>
              <w:jc w:val="center"/>
              <w:rPr>
                <w:rFonts w:ascii="宋体" w:hAnsi="宋体" w:cs="宋体"/>
                <w:color w:val="000000"/>
                <w:kern w:val="0"/>
                <w:sz w:val="22"/>
              </w:rPr>
            </w:pPr>
          </w:p>
        </w:tc>
        <w:tc>
          <w:tcPr>
            <w:tcW w:w="3092" w:type="dxa"/>
            <w:noWrap w:val="0"/>
            <w:tcMar>
              <w:top w:w="15" w:type="dxa"/>
              <w:left w:w="15" w:type="dxa"/>
              <w:bottom w:w="0" w:type="dxa"/>
              <w:right w:w="15" w:type="dxa"/>
            </w:tcMar>
            <w:vAlign w:val="center"/>
          </w:tcPr>
          <w:p w14:paraId="03BCA320">
            <w:pPr>
              <w:jc w:val="center"/>
              <w:rPr>
                <w:rFonts w:hint="eastAsia" w:ascii="宋体" w:hAnsi="宋体" w:eastAsia="宋体" w:cs="宋体"/>
                <w:color w:val="000000"/>
                <w:kern w:val="0"/>
                <w:sz w:val="22"/>
                <w:lang w:eastAsia="zh-CN"/>
              </w:rPr>
            </w:pPr>
            <w:r>
              <w:rPr>
                <w:rFonts w:hint="eastAsia" w:ascii="宋体" w:hAnsi="宋体" w:cs="宋体"/>
                <w:szCs w:val="21"/>
              </w:rPr>
              <w:t>GB/T 2951.11</w:t>
            </w:r>
          </w:p>
        </w:tc>
      </w:tr>
      <w:tr w14:paraId="031D20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7" w:hRule="atLeast"/>
        </w:trPr>
        <w:tc>
          <w:tcPr>
            <w:tcW w:w="430" w:type="pct"/>
            <w:noWrap w:val="0"/>
            <w:tcMar>
              <w:top w:w="15" w:type="dxa"/>
              <w:left w:w="15" w:type="dxa"/>
              <w:bottom w:w="0" w:type="dxa"/>
              <w:right w:w="15" w:type="dxa"/>
            </w:tcMar>
            <w:vAlign w:val="center"/>
          </w:tcPr>
          <w:p w14:paraId="0246D729">
            <w:pPr>
              <w:contextualSpacing/>
              <w:jc w:val="center"/>
              <w:rPr>
                <w:rFonts w:hint="eastAsia" w:ascii="宋体" w:hAnsi="宋体" w:cs="宋体"/>
                <w:color w:val="000000"/>
                <w:kern w:val="0"/>
                <w:sz w:val="22"/>
              </w:rPr>
            </w:pPr>
          </w:p>
        </w:tc>
        <w:tc>
          <w:tcPr>
            <w:tcW w:w="2285" w:type="dxa"/>
            <w:noWrap w:val="0"/>
            <w:tcMar>
              <w:top w:w="15" w:type="dxa"/>
              <w:left w:w="15" w:type="dxa"/>
              <w:bottom w:w="0" w:type="dxa"/>
              <w:right w:w="15" w:type="dxa"/>
            </w:tcMar>
            <w:vAlign w:val="center"/>
          </w:tcPr>
          <w:p w14:paraId="3DB26151">
            <w:pPr>
              <w:jc w:val="center"/>
              <w:rPr>
                <w:rFonts w:hint="eastAsia" w:ascii="宋体" w:hAnsi="宋体" w:cs="宋体"/>
                <w:szCs w:val="21"/>
                <w:lang w:val="en-US" w:eastAsia="zh-CN"/>
              </w:rPr>
            </w:pPr>
            <w:r>
              <w:rPr>
                <w:rFonts w:hint="eastAsia" w:ascii="宋体" w:hAnsi="宋体" w:cs="宋体"/>
                <w:szCs w:val="21"/>
              </w:rPr>
              <w:t>绝缘老化后</w:t>
            </w:r>
            <w:r>
              <w:rPr>
                <w:rFonts w:hint="eastAsia" w:ascii="宋体" w:hAnsi="宋体" w:cs="宋体"/>
                <w:szCs w:val="21"/>
                <w:lang w:val="en-US" w:eastAsia="zh-CN"/>
              </w:rPr>
              <w:t>拉力试验</w:t>
            </w:r>
          </w:p>
        </w:tc>
        <w:tc>
          <w:tcPr>
            <w:tcW w:w="1565" w:type="pct"/>
            <w:vMerge w:val="continue"/>
            <w:noWrap w:val="0"/>
            <w:tcMar>
              <w:top w:w="15" w:type="dxa"/>
              <w:left w:w="15" w:type="dxa"/>
              <w:bottom w:w="0" w:type="dxa"/>
              <w:right w:w="15" w:type="dxa"/>
            </w:tcMar>
            <w:vAlign w:val="center"/>
          </w:tcPr>
          <w:p w14:paraId="447949BC">
            <w:pPr>
              <w:contextualSpacing/>
              <w:jc w:val="center"/>
              <w:rPr>
                <w:rFonts w:ascii="宋体" w:hAnsi="宋体" w:cs="宋体"/>
                <w:color w:val="000000"/>
                <w:kern w:val="0"/>
                <w:sz w:val="22"/>
              </w:rPr>
            </w:pPr>
          </w:p>
        </w:tc>
        <w:tc>
          <w:tcPr>
            <w:tcW w:w="3092" w:type="dxa"/>
            <w:noWrap w:val="0"/>
            <w:tcMar>
              <w:top w:w="15" w:type="dxa"/>
              <w:left w:w="15" w:type="dxa"/>
              <w:bottom w:w="0" w:type="dxa"/>
              <w:right w:w="15" w:type="dxa"/>
            </w:tcMar>
            <w:vAlign w:val="center"/>
          </w:tcPr>
          <w:p w14:paraId="1C041652">
            <w:pPr>
              <w:jc w:val="center"/>
              <w:rPr>
                <w:rFonts w:ascii="宋体" w:hAnsi="宋体" w:cs="宋体"/>
                <w:szCs w:val="21"/>
              </w:rPr>
            </w:pPr>
            <w:r>
              <w:rPr>
                <w:rFonts w:hint="eastAsia" w:ascii="宋体" w:hAnsi="宋体" w:cs="宋体"/>
                <w:szCs w:val="21"/>
              </w:rPr>
              <w:t>GB/T 2951.11</w:t>
            </w:r>
          </w:p>
          <w:p w14:paraId="04798C90">
            <w:pPr>
              <w:jc w:val="center"/>
              <w:rPr>
                <w:rFonts w:hint="eastAsia" w:ascii="宋体" w:hAnsi="宋体" w:cs="宋体"/>
                <w:szCs w:val="21"/>
              </w:rPr>
            </w:pPr>
            <w:r>
              <w:rPr>
                <w:rFonts w:hint="eastAsia" w:ascii="宋体" w:hAnsi="宋体" w:cs="宋体"/>
                <w:szCs w:val="21"/>
              </w:rPr>
              <w:t>GB/T 2951.12</w:t>
            </w:r>
          </w:p>
        </w:tc>
      </w:tr>
      <w:tr w14:paraId="1CF800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7" w:hRule="atLeast"/>
        </w:trPr>
        <w:tc>
          <w:tcPr>
            <w:tcW w:w="430" w:type="pct"/>
            <w:noWrap w:val="0"/>
            <w:tcMar>
              <w:top w:w="15" w:type="dxa"/>
              <w:left w:w="15" w:type="dxa"/>
              <w:bottom w:w="0" w:type="dxa"/>
              <w:right w:w="15" w:type="dxa"/>
            </w:tcMar>
            <w:vAlign w:val="center"/>
          </w:tcPr>
          <w:p w14:paraId="6E18B82B">
            <w:pPr>
              <w:contextualSpacing/>
              <w:jc w:val="center"/>
              <w:rPr>
                <w:rFonts w:hint="eastAsia" w:ascii="宋体" w:hAnsi="宋体" w:cs="宋体"/>
                <w:color w:val="000000"/>
                <w:kern w:val="0"/>
                <w:sz w:val="22"/>
              </w:rPr>
            </w:pPr>
          </w:p>
        </w:tc>
        <w:tc>
          <w:tcPr>
            <w:tcW w:w="2285" w:type="dxa"/>
            <w:noWrap w:val="0"/>
            <w:tcMar>
              <w:top w:w="15" w:type="dxa"/>
              <w:left w:w="15" w:type="dxa"/>
              <w:bottom w:w="0" w:type="dxa"/>
              <w:right w:w="15" w:type="dxa"/>
            </w:tcMar>
            <w:vAlign w:val="center"/>
          </w:tcPr>
          <w:p w14:paraId="28D12F8C">
            <w:pPr>
              <w:jc w:val="center"/>
              <w:rPr>
                <w:rFonts w:hint="eastAsia" w:ascii="宋体" w:hAnsi="宋体" w:cs="宋体"/>
                <w:szCs w:val="21"/>
                <w:lang w:val="en-US" w:eastAsia="zh-CN"/>
              </w:rPr>
            </w:pPr>
            <w:r>
              <w:rPr>
                <w:rFonts w:hint="eastAsia" w:ascii="宋体" w:hAnsi="宋体" w:cs="宋体"/>
                <w:szCs w:val="21"/>
              </w:rPr>
              <w:t>绝缘失重试验</w:t>
            </w:r>
          </w:p>
        </w:tc>
        <w:tc>
          <w:tcPr>
            <w:tcW w:w="1565" w:type="pct"/>
            <w:vMerge w:val="continue"/>
            <w:noWrap w:val="0"/>
            <w:tcMar>
              <w:top w:w="15" w:type="dxa"/>
              <w:left w:w="15" w:type="dxa"/>
              <w:bottom w:w="0" w:type="dxa"/>
              <w:right w:w="15" w:type="dxa"/>
            </w:tcMar>
            <w:vAlign w:val="center"/>
          </w:tcPr>
          <w:p w14:paraId="0C141FFD">
            <w:pPr>
              <w:contextualSpacing/>
              <w:jc w:val="center"/>
              <w:rPr>
                <w:rFonts w:ascii="宋体" w:hAnsi="宋体" w:cs="宋体"/>
                <w:color w:val="000000"/>
                <w:kern w:val="0"/>
                <w:sz w:val="22"/>
              </w:rPr>
            </w:pPr>
          </w:p>
        </w:tc>
        <w:tc>
          <w:tcPr>
            <w:tcW w:w="3092" w:type="dxa"/>
            <w:noWrap w:val="0"/>
            <w:tcMar>
              <w:top w:w="15" w:type="dxa"/>
              <w:left w:w="15" w:type="dxa"/>
              <w:bottom w:w="0" w:type="dxa"/>
              <w:right w:w="15" w:type="dxa"/>
            </w:tcMar>
            <w:vAlign w:val="center"/>
          </w:tcPr>
          <w:p w14:paraId="610426AD">
            <w:pPr>
              <w:jc w:val="center"/>
              <w:rPr>
                <w:rFonts w:hint="eastAsia" w:ascii="宋体" w:hAnsi="宋体" w:cs="宋体"/>
                <w:szCs w:val="21"/>
              </w:rPr>
            </w:pPr>
            <w:r>
              <w:rPr>
                <w:rFonts w:hint="eastAsia" w:ascii="宋体" w:hAnsi="宋体" w:cs="宋体"/>
                <w:szCs w:val="21"/>
              </w:rPr>
              <w:t>GB/T2951.32</w:t>
            </w:r>
          </w:p>
        </w:tc>
      </w:tr>
      <w:tr w14:paraId="56E3EA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7" w:hRule="atLeast"/>
        </w:trPr>
        <w:tc>
          <w:tcPr>
            <w:tcW w:w="430" w:type="pct"/>
            <w:noWrap w:val="0"/>
            <w:tcMar>
              <w:top w:w="15" w:type="dxa"/>
              <w:left w:w="15" w:type="dxa"/>
              <w:bottom w:w="0" w:type="dxa"/>
              <w:right w:w="15" w:type="dxa"/>
            </w:tcMar>
            <w:vAlign w:val="center"/>
          </w:tcPr>
          <w:p w14:paraId="48E631B4">
            <w:pPr>
              <w:contextualSpacing/>
              <w:jc w:val="center"/>
              <w:rPr>
                <w:rFonts w:hint="eastAsia" w:ascii="宋体" w:hAnsi="宋体" w:cs="宋体"/>
                <w:color w:val="000000"/>
                <w:kern w:val="0"/>
                <w:sz w:val="22"/>
              </w:rPr>
            </w:pPr>
          </w:p>
        </w:tc>
        <w:tc>
          <w:tcPr>
            <w:tcW w:w="2285" w:type="dxa"/>
            <w:noWrap w:val="0"/>
            <w:tcMar>
              <w:top w:w="15" w:type="dxa"/>
              <w:left w:w="15" w:type="dxa"/>
              <w:bottom w:w="0" w:type="dxa"/>
              <w:right w:w="15" w:type="dxa"/>
            </w:tcMar>
            <w:vAlign w:val="center"/>
          </w:tcPr>
          <w:p w14:paraId="226F2AE1">
            <w:pPr>
              <w:jc w:val="center"/>
              <w:rPr>
                <w:rFonts w:hint="eastAsia" w:ascii="宋体" w:hAnsi="宋体" w:cs="宋体"/>
                <w:szCs w:val="21"/>
                <w:lang w:val="en-US" w:eastAsia="zh-CN"/>
              </w:rPr>
            </w:pPr>
            <w:r>
              <w:rPr>
                <w:rFonts w:hint="eastAsia" w:ascii="宋体" w:hAnsi="宋体" w:cs="宋体"/>
                <w:szCs w:val="21"/>
              </w:rPr>
              <w:t>绝缘热冲击试验</w:t>
            </w:r>
          </w:p>
        </w:tc>
        <w:tc>
          <w:tcPr>
            <w:tcW w:w="1565" w:type="pct"/>
            <w:vMerge w:val="continue"/>
            <w:noWrap w:val="0"/>
            <w:tcMar>
              <w:top w:w="15" w:type="dxa"/>
              <w:left w:w="15" w:type="dxa"/>
              <w:bottom w:w="0" w:type="dxa"/>
              <w:right w:w="15" w:type="dxa"/>
            </w:tcMar>
            <w:vAlign w:val="center"/>
          </w:tcPr>
          <w:p w14:paraId="73CB06E1">
            <w:pPr>
              <w:contextualSpacing/>
              <w:jc w:val="center"/>
              <w:rPr>
                <w:rFonts w:ascii="宋体" w:hAnsi="宋体" w:cs="宋体"/>
                <w:color w:val="000000"/>
                <w:kern w:val="0"/>
                <w:sz w:val="22"/>
              </w:rPr>
            </w:pPr>
          </w:p>
        </w:tc>
        <w:tc>
          <w:tcPr>
            <w:tcW w:w="3092" w:type="dxa"/>
            <w:noWrap w:val="0"/>
            <w:tcMar>
              <w:top w:w="15" w:type="dxa"/>
              <w:left w:w="15" w:type="dxa"/>
              <w:bottom w:w="0" w:type="dxa"/>
              <w:right w:w="15" w:type="dxa"/>
            </w:tcMar>
            <w:vAlign w:val="center"/>
          </w:tcPr>
          <w:p w14:paraId="4EB9A452">
            <w:pPr>
              <w:jc w:val="center"/>
              <w:rPr>
                <w:rFonts w:hint="eastAsia" w:ascii="宋体" w:hAnsi="宋体" w:cs="宋体"/>
                <w:szCs w:val="21"/>
              </w:rPr>
            </w:pPr>
            <w:r>
              <w:rPr>
                <w:rFonts w:hint="eastAsia" w:ascii="宋体" w:hAnsi="宋体" w:cs="宋体"/>
                <w:szCs w:val="21"/>
              </w:rPr>
              <w:t>GB/T 2951.31</w:t>
            </w:r>
          </w:p>
        </w:tc>
      </w:tr>
      <w:tr w14:paraId="49B6FF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7" w:hRule="atLeast"/>
        </w:trPr>
        <w:tc>
          <w:tcPr>
            <w:tcW w:w="430" w:type="pct"/>
            <w:noWrap w:val="0"/>
            <w:tcMar>
              <w:top w:w="15" w:type="dxa"/>
              <w:left w:w="15" w:type="dxa"/>
              <w:bottom w:w="0" w:type="dxa"/>
              <w:right w:w="15" w:type="dxa"/>
            </w:tcMar>
            <w:vAlign w:val="center"/>
          </w:tcPr>
          <w:p w14:paraId="65849813">
            <w:pPr>
              <w:contextualSpacing/>
              <w:jc w:val="center"/>
              <w:rPr>
                <w:rFonts w:hint="eastAsia" w:ascii="宋体" w:hAnsi="宋体" w:cs="宋体"/>
                <w:color w:val="000000"/>
                <w:kern w:val="0"/>
                <w:sz w:val="22"/>
              </w:rPr>
            </w:pPr>
          </w:p>
        </w:tc>
        <w:tc>
          <w:tcPr>
            <w:tcW w:w="2285" w:type="dxa"/>
            <w:noWrap w:val="0"/>
            <w:tcMar>
              <w:top w:w="15" w:type="dxa"/>
              <w:left w:w="15" w:type="dxa"/>
              <w:bottom w:w="0" w:type="dxa"/>
              <w:right w:w="15" w:type="dxa"/>
            </w:tcMar>
            <w:vAlign w:val="center"/>
          </w:tcPr>
          <w:p w14:paraId="53756435">
            <w:pPr>
              <w:jc w:val="center"/>
              <w:rPr>
                <w:rFonts w:hint="eastAsia" w:ascii="宋体" w:hAnsi="宋体" w:cs="宋体"/>
                <w:szCs w:val="21"/>
                <w:lang w:val="en-US" w:eastAsia="zh-CN"/>
              </w:rPr>
            </w:pPr>
            <w:r>
              <w:rPr>
                <w:rFonts w:hint="eastAsia" w:ascii="宋体" w:hAnsi="宋体" w:cs="宋体"/>
                <w:szCs w:val="21"/>
              </w:rPr>
              <w:t>绝缘热稳定性试验</w:t>
            </w:r>
          </w:p>
        </w:tc>
        <w:tc>
          <w:tcPr>
            <w:tcW w:w="1565" w:type="pct"/>
            <w:vMerge w:val="continue"/>
            <w:noWrap w:val="0"/>
            <w:tcMar>
              <w:top w:w="15" w:type="dxa"/>
              <w:left w:w="15" w:type="dxa"/>
              <w:bottom w:w="0" w:type="dxa"/>
              <w:right w:w="15" w:type="dxa"/>
            </w:tcMar>
            <w:vAlign w:val="center"/>
          </w:tcPr>
          <w:p w14:paraId="1D220E3F">
            <w:pPr>
              <w:contextualSpacing/>
              <w:jc w:val="center"/>
              <w:rPr>
                <w:rFonts w:ascii="宋体" w:hAnsi="宋体" w:cs="宋体"/>
                <w:color w:val="000000"/>
                <w:kern w:val="0"/>
                <w:sz w:val="22"/>
              </w:rPr>
            </w:pPr>
          </w:p>
        </w:tc>
        <w:tc>
          <w:tcPr>
            <w:tcW w:w="3092" w:type="dxa"/>
            <w:noWrap w:val="0"/>
            <w:tcMar>
              <w:top w:w="15" w:type="dxa"/>
              <w:left w:w="15" w:type="dxa"/>
              <w:bottom w:w="0" w:type="dxa"/>
              <w:right w:w="15" w:type="dxa"/>
            </w:tcMar>
            <w:vAlign w:val="center"/>
          </w:tcPr>
          <w:p w14:paraId="0A6A8296">
            <w:pPr>
              <w:jc w:val="center"/>
              <w:rPr>
                <w:rFonts w:hint="eastAsia" w:ascii="宋体" w:hAnsi="宋体" w:cs="宋体"/>
                <w:szCs w:val="21"/>
              </w:rPr>
            </w:pPr>
            <w:r>
              <w:rPr>
                <w:rFonts w:hint="eastAsia" w:ascii="宋体" w:hAnsi="宋体" w:cs="宋体"/>
                <w:szCs w:val="21"/>
              </w:rPr>
              <w:t>GB/T 2951.32</w:t>
            </w:r>
          </w:p>
        </w:tc>
      </w:tr>
      <w:tr w14:paraId="236E21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7" w:hRule="atLeast"/>
        </w:trPr>
        <w:tc>
          <w:tcPr>
            <w:tcW w:w="430" w:type="pct"/>
            <w:noWrap w:val="0"/>
            <w:tcMar>
              <w:top w:w="15" w:type="dxa"/>
              <w:left w:w="15" w:type="dxa"/>
              <w:bottom w:w="0" w:type="dxa"/>
              <w:right w:w="15" w:type="dxa"/>
            </w:tcMar>
            <w:vAlign w:val="center"/>
          </w:tcPr>
          <w:p w14:paraId="670D7DA6">
            <w:pPr>
              <w:contextualSpacing/>
              <w:jc w:val="center"/>
              <w:rPr>
                <w:rFonts w:hint="eastAsia" w:ascii="宋体" w:hAnsi="宋体" w:cs="宋体"/>
                <w:color w:val="000000"/>
                <w:kern w:val="0"/>
                <w:sz w:val="22"/>
              </w:rPr>
            </w:pPr>
          </w:p>
        </w:tc>
        <w:tc>
          <w:tcPr>
            <w:tcW w:w="2285" w:type="dxa"/>
            <w:noWrap w:val="0"/>
            <w:tcMar>
              <w:top w:w="15" w:type="dxa"/>
              <w:left w:w="15" w:type="dxa"/>
              <w:bottom w:w="0" w:type="dxa"/>
              <w:right w:w="15" w:type="dxa"/>
            </w:tcMar>
            <w:vAlign w:val="center"/>
          </w:tcPr>
          <w:p w14:paraId="19E9C032">
            <w:pPr>
              <w:jc w:val="center"/>
              <w:rPr>
                <w:rFonts w:hint="eastAsia" w:ascii="宋体" w:hAnsi="宋体" w:cs="宋体"/>
                <w:szCs w:val="21"/>
                <w:lang w:val="en-US" w:eastAsia="zh-CN"/>
              </w:rPr>
            </w:pPr>
            <w:r>
              <w:rPr>
                <w:rFonts w:hint="eastAsia" w:ascii="宋体" w:hAnsi="宋体" w:cs="宋体"/>
                <w:szCs w:val="21"/>
                <w:lang w:val="en-US" w:eastAsia="zh-CN"/>
              </w:rPr>
              <w:t>护套</w:t>
            </w:r>
            <w:r>
              <w:rPr>
                <w:rFonts w:hint="eastAsia" w:ascii="宋体" w:hAnsi="宋体" w:cs="宋体"/>
                <w:szCs w:val="21"/>
              </w:rPr>
              <w:t>老化前</w:t>
            </w:r>
            <w:r>
              <w:rPr>
                <w:rFonts w:hint="eastAsia" w:ascii="宋体" w:hAnsi="宋体" w:cs="宋体"/>
                <w:szCs w:val="21"/>
                <w:lang w:val="en-US" w:eastAsia="zh-CN"/>
              </w:rPr>
              <w:t>拉力试验</w:t>
            </w:r>
          </w:p>
        </w:tc>
        <w:tc>
          <w:tcPr>
            <w:tcW w:w="1565" w:type="pct"/>
            <w:vMerge w:val="continue"/>
            <w:noWrap w:val="0"/>
            <w:tcMar>
              <w:top w:w="15" w:type="dxa"/>
              <w:left w:w="15" w:type="dxa"/>
              <w:bottom w:w="0" w:type="dxa"/>
              <w:right w:w="15" w:type="dxa"/>
            </w:tcMar>
            <w:vAlign w:val="center"/>
          </w:tcPr>
          <w:p w14:paraId="7C67D4D6">
            <w:pPr>
              <w:contextualSpacing/>
              <w:jc w:val="center"/>
              <w:rPr>
                <w:rFonts w:ascii="宋体" w:hAnsi="宋体" w:cs="宋体"/>
                <w:color w:val="000000"/>
                <w:kern w:val="0"/>
                <w:sz w:val="22"/>
              </w:rPr>
            </w:pPr>
          </w:p>
        </w:tc>
        <w:tc>
          <w:tcPr>
            <w:tcW w:w="3092" w:type="dxa"/>
            <w:noWrap w:val="0"/>
            <w:tcMar>
              <w:top w:w="15" w:type="dxa"/>
              <w:left w:w="15" w:type="dxa"/>
              <w:bottom w:w="0" w:type="dxa"/>
              <w:right w:w="15" w:type="dxa"/>
            </w:tcMar>
            <w:vAlign w:val="center"/>
          </w:tcPr>
          <w:p w14:paraId="0E35538A">
            <w:pPr>
              <w:jc w:val="center"/>
              <w:rPr>
                <w:rFonts w:hint="eastAsia" w:ascii="宋体" w:hAnsi="宋体" w:cs="宋体"/>
                <w:szCs w:val="21"/>
              </w:rPr>
            </w:pPr>
            <w:r>
              <w:rPr>
                <w:rFonts w:hint="eastAsia" w:ascii="宋体" w:hAnsi="宋体" w:cs="宋体"/>
                <w:szCs w:val="21"/>
              </w:rPr>
              <w:t>GB/T 2951.11</w:t>
            </w:r>
          </w:p>
        </w:tc>
      </w:tr>
      <w:tr w14:paraId="21B9A4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7" w:hRule="atLeast"/>
        </w:trPr>
        <w:tc>
          <w:tcPr>
            <w:tcW w:w="430" w:type="pct"/>
            <w:noWrap w:val="0"/>
            <w:tcMar>
              <w:top w:w="15" w:type="dxa"/>
              <w:left w:w="15" w:type="dxa"/>
              <w:bottom w:w="0" w:type="dxa"/>
              <w:right w:w="15" w:type="dxa"/>
            </w:tcMar>
            <w:vAlign w:val="center"/>
          </w:tcPr>
          <w:p w14:paraId="5DF45671">
            <w:pPr>
              <w:contextualSpacing/>
              <w:jc w:val="center"/>
              <w:rPr>
                <w:rFonts w:ascii="宋体" w:hAnsi="宋体" w:cs="宋体"/>
                <w:color w:val="000000"/>
                <w:kern w:val="0"/>
                <w:sz w:val="22"/>
              </w:rPr>
            </w:pPr>
            <w:r>
              <w:rPr>
                <w:rFonts w:hint="eastAsia" w:ascii="宋体" w:hAnsi="宋体" w:cs="宋体"/>
                <w:color w:val="000000"/>
                <w:kern w:val="0"/>
                <w:sz w:val="22"/>
              </w:rPr>
              <w:t>7</w:t>
            </w:r>
          </w:p>
        </w:tc>
        <w:tc>
          <w:tcPr>
            <w:tcW w:w="2285" w:type="dxa"/>
            <w:noWrap w:val="0"/>
            <w:tcMar>
              <w:top w:w="15" w:type="dxa"/>
              <w:left w:w="15" w:type="dxa"/>
              <w:bottom w:w="0" w:type="dxa"/>
              <w:right w:w="15" w:type="dxa"/>
            </w:tcMar>
            <w:vAlign w:val="center"/>
          </w:tcPr>
          <w:p w14:paraId="21D674D6">
            <w:pPr>
              <w:jc w:val="center"/>
              <w:rPr>
                <w:rFonts w:hint="eastAsia" w:ascii="宋体" w:hAnsi="宋体" w:eastAsia="宋体" w:cs="宋体"/>
                <w:color w:val="000000"/>
                <w:kern w:val="0"/>
                <w:sz w:val="22"/>
                <w:lang w:val="en-US" w:eastAsia="zh-CN"/>
              </w:rPr>
            </w:pPr>
            <w:r>
              <w:rPr>
                <w:rFonts w:hint="eastAsia" w:ascii="宋体" w:hAnsi="宋体" w:cs="宋体"/>
                <w:szCs w:val="21"/>
                <w:lang w:val="en-US" w:eastAsia="zh-CN"/>
              </w:rPr>
              <w:t>护套</w:t>
            </w:r>
            <w:r>
              <w:rPr>
                <w:rFonts w:hint="eastAsia" w:ascii="宋体" w:hAnsi="宋体" w:cs="宋体"/>
                <w:szCs w:val="21"/>
              </w:rPr>
              <w:t>老化后</w:t>
            </w:r>
            <w:r>
              <w:rPr>
                <w:rFonts w:hint="eastAsia" w:ascii="宋体" w:hAnsi="宋体" w:cs="宋体"/>
                <w:szCs w:val="21"/>
                <w:lang w:val="en-US" w:eastAsia="zh-CN"/>
              </w:rPr>
              <w:t>拉力试验</w:t>
            </w:r>
          </w:p>
        </w:tc>
        <w:tc>
          <w:tcPr>
            <w:tcW w:w="1565" w:type="pct"/>
            <w:vMerge w:val="continue"/>
            <w:noWrap w:val="0"/>
            <w:tcMar>
              <w:top w:w="15" w:type="dxa"/>
              <w:left w:w="15" w:type="dxa"/>
              <w:bottom w:w="0" w:type="dxa"/>
              <w:right w:w="15" w:type="dxa"/>
            </w:tcMar>
            <w:vAlign w:val="center"/>
          </w:tcPr>
          <w:p w14:paraId="01E658CA">
            <w:pPr>
              <w:contextualSpacing/>
              <w:jc w:val="center"/>
              <w:rPr>
                <w:rFonts w:ascii="宋体" w:hAnsi="宋体" w:cs="宋体"/>
                <w:color w:val="000000"/>
                <w:kern w:val="0"/>
                <w:sz w:val="22"/>
              </w:rPr>
            </w:pPr>
          </w:p>
        </w:tc>
        <w:tc>
          <w:tcPr>
            <w:tcW w:w="3092" w:type="dxa"/>
            <w:noWrap w:val="0"/>
            <w:tcMar>
              <w:top w:w="15" w:type="dxa"/>
              <w:left w:w="15" w:type="dxa"/>
              <w:bottom w:w="0" w:type="dxa"/>
              <w:right w:w="15" w:type="dxa"/>
            </w:tcMar>
            <w:vAlign w:val="center"/>
          </w:tcPr>
          <w:p w14:paraId="0BB21861">
            <w:pPr>
              <w:jc w:val="center"/>
              <w:rPr>
                <w:rFonts w:hint="eastAsia" w:ascii="宋体" w:hAnsi="宋体" w:eastAsia="宋体" w:cs="宋体"/>
                <w:color w:val="000000"/>
                <w:kern w:val="0"/>
                <w:sz w:val="22"/>
                <w:lang w:eastAsia="zh-CN"/>
              </w:rPr>
            </w:pPr>
            <w:r>
              <w:rPr>
                <w:rFonts w:hint="eastAsia" w:ascii="宋体" w:hAnsi="宋体" w:cs="宋体"/>
                <w:szCs w:val="21"/>
              </w:rPr>
              <w:t>GB/T 2951.11</w:t>
            </w:r>
          </w:p>
        </w:tc>
      </w:tr>
      <w:tr w14:paraId="618F43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7" w:hRule="atLeast"/>
        </w:trPr>
        <w:tc>
          <w:tcPr>
            <w:tcW w:w="430" w:type="pct"/>
            <w:noWrap w:val="0"/>
            <w:tcMar>
              <w:top w:w="15" w:type="dxa"/>
              <w:left w:w="15" w:type="dxa"/>
              <w:bottom w:w="0" w:type="dxa"/>
              <w:right w:w="15" w:type="dxa"/>
            </w:tcMar>
            <w:vAlign w:val="center"/>
          </w:tcPr>
          <w:p w14:paraId="2FBC0916">
            <w:pPr>
              <w:contextualSpacing/>
              <w:jc w:val="center"/>
              <w:rPr>
                <w:rFonts w:ascii="宋体" w:hAnsi="宋体" w:cs="宋体"/>
                <w:color w:val="000000"/>
                <w:kern w:val="0"/>
                <w:sz w:val="22"/>
              </w:rPr>
            </w:pPr>
            <w:r>
              <w:rPr>
                <w:rFonts w:hint="eastAsia" w:ascii="宋体" w:hAnsi="宋体" w:cs="宋体"/>
                <w:color w:val="000000"/>
                <w:kern w:val="0"/>
                <w:sz w:val="22"/>
              </w:rPr>
              <w:t>8</w:t>
            </w:r>
          </w:p>
        </w:tc>
        <w:tc>
          <w:tcPr>
            <w:tcW w:w="2285" w:type="dxa"/>
            <w:noWrap w:val="0"/>
            <w:tcMar>
              <w:top w:w="15" w:type="dxa"/>
              <w:left w:w="15" w:type="dxa"/>
              <w:bottom w:w="0" w:type="dxa"/>
              <w:right w:w="15" w:type="dxa"/>
            </w:tcMar>
            <w:vAlign w:val="center"/>
          </w:tcPr>
          <w:p w14:paraId="6073EFC8">
            <w:pPr>
              <w:jc w:val="center"/>
              <w:rPr>
                <w:rFonts w:hint="eastAsia" w:ascii="宋体" w:hAnsi="宋体" w:eastAsia="宋体" w:cs="宋体"/>
                <w:color w:val="000000"/>
                <w:kern w:val="0"/>
                <w:sz w:val="22"/>
                <w:lang w:val="en-US" w:eastAsia="zh-CN"/>
              </w:rPr>
            </w:pPr>
            <w:r>
              <w:rPr>
                <w:rFonts w:hint="eastAsia" w:ascii="宋体" w:hAnsi="宋体" w:cs="宋体"/>
                <w:szCs w:val="21"/>
              </w:rPr>
              <w:t>曲挠试验</w:t>
            </w:r>
          </w:p>
        </w:tc>
        <w:tc>
          <w:tcPr>
            <w:tcW w:w="1565" w:type="pct"/>
            <w:vMerge w:val="continue"/>
            <w:noWrap w:val="0"/>
            <w:tcMar>
              <w:top w:w="15" w:type="dxa"/>
              <w:left w:w="15" w:type="dxa"/>
              <w:bottom w:w="0" w:type="dxa"/>
              <w:right w:w="15" w:type="dxa"/>
            </w:tcMar>
            <w:vAlign w:val="center"/>
          </w:tcPr>
          <w:p w14:paraId="12C0323C">
            <w:pPr>
              <w:contextualSpacing/>
              <w:jc w:val="center"/>
              <w:rPr>
                <w:rFonts w:ascii="宋体" w:hAnsi="宋体" w:cs="宋体"/>
                <w:color w:val="000000"/>
                <w:kern w:val="0"/>
                <w:sz w:val="22"/>
              </w:rPr>
            </w:pPr>
          </w:p>
        </w:tc>
        <w:tc>
          <w:tcPr>
            <w:tcW w:w="3092" w:type="dxa"/>
            <w:noWrap w:val="0"/>
            <w:tcMar>
              <w:top w:w="15" w:type="dxa"/>
              <w:left w:w="15" w:type="dxa"/>
              <w:bottom w:w="0" w:type="dxa"/>
              <w:right w:w="15" w:type="dxa"/>
            </w:tcMar>
            <w:vAlign w:val="center"/>
          </w:tcPr>
          <w:p w14:paraId="514275DD">
            <w:pPr>
              <w:jc w:val="center"/>
              <w:rPr>
                <w:rFonts w:hint="eastAsia" w:ascii="宋体" w:hAnsi="宋体" w:eastAsia="宋体" w:cs="宋体"/>
                <w:color w:val="000000"/>
                <w:kern w:val="0"/>
                <w:sz w:val="22"/>
                <w:lang w:eastAsia="zh-CN"/>
              </w:rPr>
            </w:pPr>
            <w:r>
              <w:rPr>
                <w:rFonts w:hint="eastAsia" w:ascii="宋体" w:hAnsi="宋体" w:cs="宋体"/>
                <w:szCs w:val="21"/>
              </w:rPr>
              <w:t>GB/T 5023.2</w:t>
            </w:r>
          </w:p>
        </w:tc>
      </w:tr>
      <w:tr w14:paraId="4F9163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7" w:hRule="atLeast"/>
        </w:trPr>
        <w:tc>
          <w:tcPr>
            <w:tcW w:w="430" w:type="pct"/>
            <w:noWrap w:val="0"/>
            <w:tcMar>
              <w:top w:w="15" w:type="dxa"/>
              <w:left w:w="15" w:type="dxa"/>
              <w:bottom w:w="0" w:type="dxa"/>
              <w:right w:w="15" w:type="dxa"/>
            </w:tcMar>
            <w:vAlign w:val="center"/>
          </w:tcPr>
          <w:p w14:paraId="43D91EF3">
            <w:pPr>
              <w:contextualSpacing/>
              <w:jc w:val="center"/>
              <w:rPr>
                <w:rFonts w:ascii="宋体" w:hAnsi="宋体" w:cs="宋体"/>
                <w:color w:val="000000"/>
                <w:kern w:val="0"/>
                <w:sz w:val="22"/>
              </w:rPr>
            </w:pPr>
            <w:r>
              <w:rPr>
                <w:rFonts w:hint="eastAsia" w:ascii="宋体" w:hAnsi="宋体" w:cs="宋体"/>
                <w:color w:val="000000"/>
                <w:kern w:val="0"/>
                <w:sz w:val="22"/>
              </w:rPr>
              <w:t>9</w:t>
            </w:r>
          </w:p>
        </w:tc>
        <w:tc>
          <w:tcPr>
            <w:tcW w:w="2285" w:type="dxa"/>
            <w:noWrap w:val="0"/>
            <w:tcMar>
              <w:top w:w="15" w:type="dxa"/>
              <w:left w:w="15" w:type="dxa"/>
              <w:bottom w:w="0" w:type="dxa"/>
              <w:right w:w="15" w:type="dxa"/>
            </w:tcMar>
            <w:vAlign w:val="center"/>
          </w:tcPr>
          <w:p w14:paraId="04997E33">
            <w:pPr>
              <w:jc w:val="center"/>
              <w:rPr>
                <w:rFonts w:hint="eastAsia" w:ascii="宋体" w:hAnsi="宋体" w:eastAsia="宋体" w:cs="宋体"/>
                <w:color w:val="000000"/>
                <w:kern w:val="0"/>
                <w:sz w:val="22"/>
                <w:lang w:val="en-US" w:eastAsia="zh-CN"/>
              </w:rPr>
            </w:pPr>
            <w:r>
              <w:rPr>
                <w:rFonts w:hint="eastAsia" w:ascii="宋体" w:hAnsi="宋体" w:cs="宋体"/>
                <w:szCs w:val="21"/>
              </w:rPr>
              <w:t>不延燃试验</w:t>
            </w:r>
          </w:p>
        </w:tc>
        <w:tc>
          <w:tcPr>
            <w:tcW w:w="1565" w:type="pct"/>
            <w:vMerge w:val="continue"/>
            <w:noWrap w:val="0"/>
            <w:tcMar>
              <w:top w:w="15" w:type="dxa"/>
              <w:left w:w="15" w:type="dxa"/>
              <w:bottom w:w="0" w:type="dxa"/>
              <w:right w:w="15" w:type="dxa"/>
            </w:tcMar>
            <w:vAlign w:val="center"/>
          </w:tcPr>
          <w:p w14:paraId="52926651">
            <w:pPr>
              <w:contextualSpacing/>
              <w:jc w:val="center"/>
              <w:rPr>
                <w:rFonts w:ascii="宋体" w:hAnsi="宋体" w:cs="宋体"/>
                <w:color w:val="000000"/>
                <w:kern w:val="0"/>
                <w:sz w:val="22"/>
              </w:rPr>
            </w:pPr>
          </w:p>
        </w:tc>
        <w:tc>
          <w:tcPr>
            <w:tcW w:w="3092" w:type="dxa"/>
            <w:noWrap w:val="0"/>
            <w:tcMar>
              <w:top w:w="15" w:type="dxa"/>
              <w:left w:w="15" w:type="dxa"/>
              <w:bottom w:w="0" w:type="dxa"/>
              <w:right w:w="15" w:type="dxa"/>
            </w:tcMar>
            <w:vAlign w:val="center"/>
          </w:tcPr>
          <w:p w14:paraId="6D84DC4C">
            <w:pPr>
              <w:jc w:val="center"/>
              <w:rPr>
                <w:rFonts w:hint="eastAsia" w:ascii="宋体" w:hAnsi="宋体" w:eastAsia="宋体" w:cs="宋体"/>
                <w:color w:val="000000"/>
                <w:kern w:val="0"/>
                <w:sz w:val="22"/>
                <w:lang w:eastAsia="zh-CN"/>
              </w:rPr>
            </w:pPr>
            <w:r>
              <w:rPr>
                <w:rFonts w:hint="eastAsia" w:ascii="宋体" w:hAnsi="宋体" w:cs="宋体"/>
                <w:szCs w:val="21"/>
              </w:rPr>
              <w:t>GB/T 18380.12</w:t>
            </w:r>
          </w:p>
        </w:tc>
      </w:tr>
    </w:tbl>
    <w:p w14:paraId="13BAB865">
      <w:pPr>
        <w:snapToGrid w:val="0"/>
        <w:spacing w:line="440" w:lineRule="exact"/>
        <w:jc w:val="center"/>
        <w:rPr>
          <w:rFonts w:hint="eastAsia" w:ascii="方正仿宋_GBK" w:hAnsi="方正仿宋_GBK" w:eastAsia="方正仿宋_GBK" w:cs="方正仿宋_GBK"/>
          <w:color w:val="000000"/>
          <w:sz w:val="28"/>
          <w:szCs w:val="28"/>
        </w:rPr>
      </w:pPr>
      <w:r>
        <w:rPr>
          <w:rFonts w:ascii="Times New Roman" w:hAnsi="Times New Roman" w:eastAsia="方正仿宋_GBK"/>
          <w:color w:val="000000"/>
          <w:sz w:val="28"/>
          <w:szCs w:val="28"/>
        </w:rPr>
        <w:t>表</w:t>
      </w:r>
      <w:r>
        <w:rPr>
          <w:rFonts w:hint="eastAsia" w:ascii="Times New Roman" w:hAnsi="Times New Roman" w:eastAsia="方正仿宋_GBK"/>
          <w:color w:val="000000"/>
          <w:sz w:val="28"/>
          <w:szCs w:val="28"/>
          <w:lang w:val="en-US" w:eastAsia="zh-CN"/>
        </w:rPr>
        <w:t>2</w:t>
      </w:r>
      <w:r>
        <w:rPr>
          <w:rFonts w:ascii="Times New Roman" w:hAnsi="Times New Roman" w:eastAsia="方正仿宋_GBK"/>
          <w:color w:val="000000"/>
          <w:sz w:val="28"/>
          <w:szCs w:val="28"/>
        </w:rPr>
        <w:t xml:space="preserve">  </w:t>
      </w:r>
      <w:r>
        <w:rPr>
          <w:rFonts w:hint="eastAsia" w:eastAsia="方正仿宋_GBK"/>
          <w:color w:val="000000"/>
          <w:sz w:val="28"/>
          <w:szCs w:val="28"/>
        </w:rPr>
        <w:t>橡皮绝缘电缆</w:t>
      </w:r>
      <w:r>
        <w:rPr>
          <w:rFonts w:hint="eastAsia" w:ascii="方正仿宋_GBK" w:hAnsi="方正仿宋_GBK" w:eastAsia="方正仿宋_GBK" w:cs="方正仿宋_GBK"/>
          <w:color w:val="000000"/>
          <w:sz w:val="28"/>
          <w:szCs w:val="28"/>
        </w:rPr>
        <w:t>检验项目</w:t>
      </w:r>
    </w:p>
    <w:tbl>
      <w:tblPr>
        <w:tblStyle w:val="10"/>
        <w:tblW w:w="499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770"/>
        <w:gridCol w:w="2285"/>
        <w:gridCol w:w="2802"/>
        <w:gridCol w:w="3092"/>
      </w:tblGrid>
      <w:tr w14:paraId="53FB1F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43" w:hRule="atLeast"/>
          <w:tblHeader/>
        </w:trPr>
        <w:tc>
          <w:tcPr>
            <w:tcW w:w="430" w:type="pct"/>
            <w:noWrap w:val="0"/>
            <w:tcMar>
              <w:top w:w="15" w:type="dxa"/>
              <w:left w:w="15" w:type="dxa"/>
              <w:bottom w:w="0" w:type="dxa"/>
              <w:right w:w="15" w:type="dxa"/>
            </w:tcMar>
            <w:vAlign w:val="center"/>
          </w:tcPr>
          <w:p w14:paraId="174C6CBA">
            <w:pPr>
              <w:contextualSpacing/>
              <w:jc w:val="center"/>
              <w:rPr>
                <w:rFonts w:ascii="宋体" w:hAnsi="宋体" w:cs="宋体"/>
                <w:color w:val="000000"/>
                <w:kern w:val="0"/>
                <w:sz w:val="22"/>
              </w:rPr>
            </w:pPr>
            <w:r>
              <w:rPr>
                <w:rFonts w:hint="eastAsia" w:ascii="宋体" w:hAnsi="宋体" w:cs="宋体"/>
                <w:color w:val="000000"/>
                <w:kern w:val="0"/>
                <w:sz w:val="22"/>
              </w:rPr>
              <w:t>序号</w:t>
            </w:r>
          </w:p>
        </w:tc>
        <w:tc>
          <w:tcPr>
            <w:tcW w:w="1276" w:type="pct"/>
            <w:noWrap w:val="0"/>
            <w:tcMar>
              <w:top w:w="15" w:type="dxa"/>
              <w:left w:w="15" w:type="dxa"/>
              <w:bottom w:w="0" w:type="dxa"/>
              <w:right w:w="15" w:type="dxa"/>
            </w:tcMar>
            <w:vAlign w:val="center"/>
          </w:tcPr>
          <w:p w14:paraId="2F542987">
            <w:pPr>
              <w:contextualSpacing/>
              <w:jc w:val="center"/>
              <w:rPr>
                <w:rFonts w:ascii="宋体" w:hAnsi="宋体" w:cs="宋体"/>
                <w:color w:val="000000"/>
                <w:kern w:val="0"/>
                <w:sz w:val="22"/>
              </w:rPr>
            </w:pPr>
            <w:r>
              <w:rPr>
                <w:rFonts w:hint="eastAsia" w:ascii="宋体" w:hAnsi="宋体" w:cs="宋体"/>
                <w:color w:val="000000"/>
                <w:kern w:val="0"/>
                <w:sz w:val="22"/>
              </w:rPr>
              <w:t>检验检测项目</w:t>
            </w:r>
          </w:p>
        </w:tc>
        <w:tc>
          <w:tcPr>
            <w:tcW w:w="1565" w:type="pct"/>
            <w:noWrap w:val="0"/>
            <w:tcMar>
              <w:top w:w="15" w:type="dxa"/>
              <w:left w:w="15" w:type="dxa"/>
              <w:bottom w:w="0" w:type="dxa"/>
              <w:right w:w="15" w:type="dxa"/>
            </w:tcMar>
            <w:vAlign w:val="center"/>
          </w:tcPr>
          <w:p w14:paraId="213BC458">
            <w:pPr>
              <w:contextualSpacing/>
              <w:jc w:val="center"/>
              <w:rPr>
                <w:rFonts w:ascii="宋体" w:hAnsi="宋体" w:cs="宋体"/>
                <w:color w:val="000000"/>
                <w:kern w:val="0"/>
                <w:sz w:val="22"/>
              </w:rPr>
            </w:pPr>
            <w:r>
              <w:rPr>
                <w:rFonts w:hint="eastAsia" w:ascii="宋体" w:hAnsi="宋体" w:cs="宋体"/>
                <w:color w:val="000000"/>
                <w:kern w:val="0"/>
                <w:sz w:val="22"/>
              </w:rPr>
              <w:t>检验检测依据</w:t>
            </w:r>
          </w:p>
        </w:tc>
        <w:tc>
          <w:tcPr>
            <w:tcW w:w="1727" w:type="pct"/>
            <w:noWrap w:val="0"/>
            <w:tcMar>
              <w:top w:w="15" w:type="dxa"/>
              <w:left w:w="15" w:type="dxa"/>
              <w:bottom w:w="0" w:type="dxa"/>
              <w:right w:w="15" w:type="dxa"/>
            </w:tcMar>
            <w:vAlign w:val="center"/>
          </w:tcPr>
          <w:p w14:paraId="7CA04501">
            <w:pPr>
              <w:contextualSpacing/>
              <w:jc w:val="center"/>
              <w:rPr>
                <w:rFonts w:ascii="宋体" w:hAnsi="宋体" w:cs="宋体"/>
                <w:color w:val="000000"/>
                <w:kern w:val="0"/>
                <w:sz w:val="22"/>
              </w:rPr>
            </w:pPr>
            <w:r>
              <w:rPr>
                <w:rFonts w:hint="eastAsia" w:ascii="宋体" w:hAnsi="宋体" w:cs="宋体"/>
                <w:color w:val="000000"/>
                <w:kern w:val="0"/>
                <w:sz w:val="22"/>
              </w:rPr>
              <w:t>检验检测方法</w:t>
            </w:r>
          </w:p>
        </w:tc>
      </w:tr>
      <w:tr w14:paraId="607B8D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10" w:hRule="atLeast"/>
        </w:trPr>
        <w:tc>
          <w:tcPr>
            <w:tcW w:w="430" w:type="pct"/>
            <w:noWrap w:val="0"/>
            <w:tcMar>
              <w:top w:w="15" w:type="dxa"/>
              <w:left w:w="15" w:type="dxa"/>
              <w:bottom w:w="0" w:type="dxa"/>
              <w:right w:w="15" w:type="dxa"/>
            </w:tcMar>
            <w:vAlign w:val="center"/>
          </w:tcPr>
          <w:p w14:paraId="0C8E53A0">
            <w:pPr>
              <w:contextualSpacing/>
              <w:jc w:val="center"/>
              <w:rPr>
                <w:rFonts w:ascii="宋体" w:hAnsi="宋体" w:cs="宋体"/>
                <w:color w:val="000000"/>
                <w:kern w:val="0"/>
                <w:sz w:val="22"/>
              </w:rPr>
            </w:pPr>
            <w:r>
              <w:rPr>
                <w:rFonts w:hint="eastAsia" w:ascii="宋体" w:hAnsi="宋体" w:cs="宋体"/>
                <w:color w:val="000000"/>
                <w:kern w:val="0"/>
                <w:sz w:val="22"/>
              </w:rPr>
              <w:t>1</w:t>
            </w:r>
          </w:p>
        </w:tc>
        <w:tc>
          <w:tcPr>
            <w:tcW w:w="1276" w:type="pct"/>
            <w:noWrap w:val="0"/>
            <w:tcMar>
              <w:top w:w="15" w:type="dxa"/>
              <w:left w:w="15" w:type="dxa"/>
              <w:bottom w:w="0" w:type="dxa"/>
              <w:right w:w="15" w:type="dxa"/>
            </w:tcMar>
            <w:vAlign w:val="center"/>
          </w:tcPr>
          <w:p w14:paraId="3842C873">
            <w:pPr>
              <w:jc w:val="center"/>
              <w:rPr>
                <w:rFonts w:hint="eastAsia" w:ascii="宋体" w:hAnsi="宋体" w:eastAsia="宋体" w:cs="宋体"/>
                <w:color w:val="000000"/>
                <w:kern w:val="0"/>
                <w:sz w:val="22"/>
                <w:lang w:val="en-US" w:eastAsia="zh-CN"/>
              </w:rPr>
            </w:pPr>
            <w:r>
              <w:rPr>
                <w:rFonts w:hint="eastAsia" w:ascii="宋体" w:hAnsi="宋体" w:cs="宋体"/>
                <w:szCs w:val="21"/>
              </w:rPr>
              <w:t>导体电阻</w:t>
            </w:r>
          </w:p>
        </w:tc>
        <w:tc>
          <w:tcPr>
            <w:tcW w:w="1565" w:type="pct"/>
            <w:vMerge w:val="restart"/>
            <w:noWrap w:val="0"/>
            <w:tcMar>
              <w:top w:w="15" w:type="dxa"/>
              <w:left w:w="15" w:type="dxa"/>
              <w:bottom w:w="0" w:type="dxa"/>
              <w:right w:w="15" w:type="dxa"/>
            </w:tcMar>
            <w:vAlign w:val="center"/>
          </w:tcPr>
          <w:p w14:paraId="0B0179CD">
            <w:pPr>
              <w:jc w:val="center"/>
              <w:rPr>
                <w:rFonts w:hint="default" w:ascii="宋体" w:hAnsi="宋体" w:eastAsia="宋体" w:cs="宋体"/>
                <w:szCs w:val="21"/>
                <w:lang w:val="en-US" w:eastAsia="zh-CN"/>
              </w:rPr>
            </w:pPr>
            <w:r>
              <w:rPr>
                <w:rFonts w:hint="eastAsia" w:ascii="宋体" w:hAnsi="宋体" w:cs="宋体"/>
                <w:szCs w:val="21"/>
              </w:rPr>
              <w:t>GB/T 5013.</w:t>
            </w:r>
            <w:r>
              <w:rPr>
                <w:rFonts w:hint="eastAsia" w:ascii="宋体" w:hAnsi="宋体" w:cs="宋体"/>
                <w:szCs w:val="21"/>
                <w:lang w:val="en-US" w:eastAsia="zh-CN"/>
              </w:rPr>
              <w:t>4-2008</w:t>
            </w:r>
          </w:p>
          <w:p w14:paraId="0F5AE232">
            <w:pPr>
              <w:contextualSpacing/>
              <w:jc w:val="center"/>
              <w:rPr>
                <w:rFonts w:hint="default" w:ascii="宋体" w:hAnsi="宋体" w:eastAsia="宋体" w:cs="宋体"/>
                <w:color w:val="000000"/>
                <w:kern w:val="0"/>
                <w:sz w:val="22"/>
                <w:szCs w:val="24"/>
                <w:lang w:val="en-US" w:eastAsia="zh-CN" w:bidi="ar-SA"/>
              </w:rPr>
            </w:pPr>
            <w:r>
              <w:rPr>
                <w:rFonts w:hint="eastAsia" w:ascii="宋体" w:hAnsi="宋体" w:cs="宋体"/>
                <w:szCs w:val="21"/>
              </w:rPr>
              <w:t>JB/T 8735.</w:t>
            </w:r>
            <w:r>
              <w:rPr>
                <w:rFonts w:hint="eastAsia" w:ascii="宋体" w:hAnsi="宋体" w:cs="宋体"/>
                <w:szCs w:val="21"/>
                <w:lang w:val="en-US" w:eastAsia="zh-CN"/>
              </w:rPr>
              <w:t>2-2016</w:t>
            </w:r>
          </w:p>
        </w:tc>
        <w:tc>
          <w:tcPr>
            <w:tcW w:w="1727" w:type="pct"/>
            <w:noWrap w:val="0"/>
            <w:tcMar>
              <w:top w:w="15" w:type="dxa"/>
              <w:left w:w="15" w:type="dxa"/>
              <w:bottom w:w="0" w:type="dxa"/>
              <w:right w:w="15" w:type="dxa"/>
            </w:tcMar>
            <w:vAlign w:val="center"/>
          </w:tcPr>
          <w:p w14:paraId="3859E3AE">
            <w:pPr>
              <w:jc w:val="center"/>
              <w:rPr>
                <w:rFonts w:hint="eastAsia" w:ascii="宋体" w:hAnsi="宋体" w:eastAsia="宋体" w:cs="宋体"/>
                <w:color w:val="000000"/>
                <w:kern w:val="0"/>
                <w:sz w:val="22"/>
                <w:lang w:eastAsia="zh-CN"/>
              </w:rPr>
            </w:pPr>
            <w:r>
              <w:rPr>
                <w:rFonts w:hint="eastAsia" w:ascii="宋体" w:hAnsi="宋体" w:cs="宋体"/>
                <w:szCs w:val="21"/>
              </w:rPr>
              <w:t>GB/T 5013.2</w:t>
            </w:r>
          </w:p>
        </w:tc>
      </w:tr>
      <w:tr w14:paraId="7591B3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10" w:hRule="atLeast"/>
        </w:trPr>
        <w:tc>
          <w:tcPr>
            <w:tcW w:w="430" w:type="pct"/>
            <w:noWrap w:val="0"/>
            <w:tcMar>
              <w:top w:w="15" w:type="dxa"/>
              <w:left w:w="15" w:type="dxa"/>
              <w:bottom w:w="0" w:type="dxa"/>
              <w:right w:w="15" w:type="dxa"/>
            </w:tcMar>
            <w:vAlign w:val="center"/>
          </w:tcPr>
          <w:p w14:paraId="205EE7AB">
            <w:pPr>
              <w:contextualSpacing/>
              <w:jc w:val="center"/>
              <w:rPr>
                <w:rFonts w:ascii="宋体" w:hAnsi="宋体" w:cs="宋体"/>
                <w:color w:val="000000"/>
                <w:kern w:val="0"/>
                <w:sz w:val="22"/>
              </w:rPr>
            </w:pPr>
            <w:r>
              <w:rPr>
                <w:rFonts w:hint="eastAsia" w:ascii="宋体" w:hAnsi="宋体" w:cs="宋体"/>
                <w:color w:val="000000"/>
                <w:kern w:val="0"/>
                <w:sz w:val="22"/>
              </w:rPr>
              <w:t>2</w:t>
            </w:r>
          </w:p>
        </w:tc>
        <w:tc>
          <w:tcPr>
            <w:tcW w:w="1276" w:type="pct"/>
            <w:noWrap w:val="0"/>
            <w:tcMar>
              <w:top w:w="15" w:type="dxa"/>
              <w:left w:w="15" w:type="dxa"/>
              <w:bottom w:w="0" w:type="dxa"/>
              <w:right w:w="15" w:type="dxa"/>
            </w:tcMar>
            <w:vAlign w:val="center"/>
          </w:tcPr>
          <w:p w14:paraId="6E685F0C">
            <w:pPr>
              <w:jc w:val="center"/>
              <w:rPr>
                <w:rFonts w:hint="eastAsia" w:ascii="宋体" w:hAnsi="宋体" w:eastAsia="宋体" w:cs="宋体"/>
                <w:color w:val="000000"/>
                <w:kern w:val="0"/>
                <w:sz w:val="22"/>
                <w:lang w:val="en-US" w:eastAsia="zh-CN"/>
              </w:rPr>
            </w:pPr>
            <w:r>
              <w:rPr>
                <w:rFonts w:hint="eastAsia" w:ascii="宋体" w:hAnsi="宋体" w:cs="宋体"/>
                <w:szCs w:val="21"/>
              </w:rPr>
              <w:t>绝缘厚度</w:t>
            </w:r>
          </w:p>
        </w:tc>
        <w:tc>
          <w:tcPr>
            <w:tcW w:w="1565" w:type="pct"/>
            <w:vMerge w:val="continue"/>
            <w:noWrap w:val="0"/>
            <w:tcMar>
              <w:top w:w="15" w:type="dxa"/>
              <w:left w:w="15" w:type="dxa"/>
              <w:bottom w:w="0" w:type="dxa"/>
              <w:right w:w="15" w:type="dxa"/>
            </w:tcMar>
            <w:vAlign w:val="center"/>
          </w:tcPr>
          <w:p w14:paraId="08F2E56B">
            <w:pPr>
              <w:contextualSpacing/>
              <w:jc w:val="center"/>
              <w:rPr>
                <w:rFonts w:ascii="宋体" w:hAnsi="宋体" w:cs="宋体"/>
                <w:color w:val="000000"/>
                <w:kern w:val="0"/>
                <w:sz w:val="22"/>
              </w:rPr>
            </w:pPr>
          </w:p>
        </w:tc>
        <w:tc>
          <w:tcPr>
            <w:tcW w:w="1727" w:type="pct"/>
            <w:noWrap w:val="0"/>
            <w:tcMar>
              <w:top w:w="15" w:type="dxa"/>
              <w:left w:w="15" w:type="dxa"/>
              <w:bottom w:w="0" w:type="dxa"/>
              <w:right w:w="15" w:type="dxa"/>
            </w:tcMar>
            <w:vAlign w:val="center"/>
          </w:tcPr>
          <w:p w14:paraId="06CAE220">
            <w:pPr>
              <w:jc w:val="center"/>
              <w:rPr>
                <w:rFonts w:ascii="宋体" w:hAnsi="宋体" w:cs="宋体"/>
                <w:szCs w:val="21"/>
              </w:rPr>
            </w:pPr>
            <w:r>
              <w:rPr>
                <w:rFonts w:hint="eastAsia" w:ascii="宋体" w:hAnsi="宋体" w:cs="宋体"/>
                <w:szCs w:val="21"/>
              </w:rPr>
              <w:t>GB/T 5013.2</w:t>
            </w:r>
          </w:p>
          <w:p w14:paraId="78C9A875">
            <w:pPr>
              <w:jc w:val="center"/>
              <w:rPr>
                <w:rFonts w:hint="eastAsia" w:ascii="宋体" w:hAnsi="宋体" w:eastAsia="宋体" w:cs="宋体"/>
                <w:color w:val="000000"/>
                <w:kern w:val="0"/>
                <w:sz w:val="22"/>
                <w:lang w:eastAsia="zh-CN"/>
              </w:rPr>
            </w:pPr>
            <w:r>
              <w:rPr>
                <w:rFonts w:hint="eastAsia" w:ascii="宋体" w:hAnsi="宋体" w:cs="宋体"/>
                <w:szCs w:val="21"/>
              </w:rPr>
              <w:t>GB/T 2951.11</w:t>
            </w:r>
          </w:p>
        </w:tc>
      </w:tr>
      <w:tr w14:paraId="7C07CB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10" w:hRule="atLeast"/>
        </w:trPr>
        <w:tc>
          <w:tcPr>
            <w:tcW w:w="430" w:type="pct"/>
            <w:noWrap w:val="0"/>
            <w:tcMar>
              <w:top w:w="15" w:type="dxa"/>
              <w:left w:w="15" w:type="dxa"/>
              <w:bottom w:w="0" w:type="dxa"/>
              <w:right w:w="15" w:type="dxa"/>
            </w:tcMar>
            <w:vAlign w:val="center"/>
          </w:tcPr>
          <w:p w14:paraId="268A38DF">
            <w:pPr>
              <w:contextualSpacing/>
              <w:jc w:val="center"/>
              <w:rPr>
                <w:rFonts w:ascii="宋体" w:hAnsi="宋体" w:cs="宋体"/>
                <w:color w:val="000000"/>
                <w:kern w:val="0"/>
                <w:sz w:val="22"/>
              </w:rPr>
            </w:pPr>
            <w:r>
              <w:rPr>
                <w:rFonts w:hint="eastAsia" w:ascii="宋体" w:hAnsi="宋体" w:cs="宋体"/>
                <w:color w:val="000000"/>
                <w:kern w:val="0"/>
                <w:sz w:val="22"/>
              </w:rPr>
              <w:t>3</w:t>
            </w:r>
          </w:p>
        </w:tc>
        <w:tc>
          <w:tcPr>
            <w:tcW w:w="1276" w:type="pct"/>
            <w:noWrap w:val="0"/>
            <w:tcMar>
              <w:top w:w="15" w:type="dxa"/>
              <w:left w:w="15" w:type="dxa"/>
              <w:bottom w:w="0" w:type="dxa"/>
              <w:right w:w="15" w:type="dxa"/>
            </w:tcMar>
            <w:vAlign w:val="center"/>
          </w:tcPr>
          <w:p w14:paraId="22A4AC5B">
            <w:pPr>
              <w:jc w:val="center"/>
              <w:rPr>
                <w:rFonts w:hint="eastAsia" w:ascii="宋体" w:hAnsi="宋体" w:eastAsia="宋体" w:cs="宋体"/>
                <w:color w:val="000000"/>
                <w:kern w:val="0"/>
                <w:sz w:val="22"/>
                <w:lang w:val="en-US" w:eastAsia="zh-CN"/>
              </w:rPr>
            </w:pPr>
            <w:r>
              <w:rPr>
                <w:rFonts w:hint="eastAsia" w:ascii="宋体" w:hAnsi="宋体" w:cs="宋体"/>
                <w:szCs w:val="21"/>
              </w:rPr>
              <w:t>护套厚度</w:t>
            </w:r>
          </w:p>
        </w:tc>
        <w:tc>
          <w:tcPr>
            <w:tcW w:w="1565" w:type="pct"/>
            <w:vMerge w:val="continue"/>
            <w:noWrap w:val="0"/>
            <w:tcMar>
              <w:top w:w="15" w:type="dxa"/>
              <w:left w:w="15" w:type="dxa"/>
              <w:bottom w:w="0" w:type="dxa"/>
              <w:right w:w="15" w:type="dxa"/>
            </w:tcMar>
            <w:vAlign w:val="center"/>
          </w:tcPr>
          <w:p w14:paraId="3E437760">
            <w:pPr>
              <w:contextualSpacing/>
              <w:jc w:val="center"/>
              <w:rPr>
                <w:rFonts w:ascii="宋体" w:hAnsi="宋体" w:cs="宋体"/>
                <w:color w:val="000000"/>
                <w:kern w:val="0"/>
                <w:sz w:val="22"/>
              </w:rPr>
            </w:pPr>
          </w:p>
        </w:tc>
        <w:tc>
          <w:tcPr>
            <w:tcW w:w="1727" w:type="pct"/>
            <w:noWrap w:val="0"/>
            <w:tcMar>
              <w:top w:w="15" w:type="dxa"/>
              <w:left w:w="15" w:type="dxa"/>
              <w:bottom w:w="0" w:type="dxa"/>
              <w:right w:w="15" w:type="dxa"/>
            </w:tcMar>
            <w:vAlign w:val="center"/>
          </w:tcPr>
          <w:p w14:paraId="335AB434">
            <w:pPr>
              <w:jc w:val="center"/>
              <w:rPr>
                <w:rFonts w:ascii="宋体" w:hAnsi="宋体" w:cs="宋体"/>
                <w:szCs w:val="21"/>
              </w:rPr>
            </w:pPr>
            <w:r>
              <w:rPr>
                <w:rFonts w:hint="eastAsia" w:ascii="宋体" w:hAnsi="宋体" w:cs="宋体"/>
                <w:szCs w:val="21"/>
              </w:rPr>
              <w:t>GB/T 5013.2</w:t>
            </w:r>
          </w:p>
          <w:p w14:paraId="5D41099A">
            <w:pPr>
              <w:jc w:val="center"/>
              <w:rPr>
                <w:rFonts w:hint="eastAsia" w:ascii="宋体" w:hAnsi="宋体" w:eastAsia="宋体" w:cs="宋体"/>
                <w:color w:val="000000"/>
                <w:kern w:val="0"/>
                <w:sz w:val="22"/>
                <w:lang w:eastAsia="zh-CN"/>
              </w:rPr>
            </w:pPr>
            <w:r>
              <w:rPr>
                <w:rFonts w:hint="eastAsia" w:ascii="宋体" w:hAnsi="宋体" w:cs="宋体"/>
                <w:szCs w:val="21"/>
              </w:rPr>
              <w:t>GB/T 2951.11</w:t>
            </w:r>
          </w:p>
        </w:tc>
      </w:tr>
      <w:tr w14:paraId="37CB71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10" w:hRule="atLeast"/>
        </w:trPr>
        <w:tc>
          <w:tcPr>
            <w:tcW w:w="430" w:type="pct"/>
            <w:noWrap w:val="0"/>
            <w:tcMar>
              <w:top w:w="15" w:type="dxa"/>
              <w:left w:w="15" w:type="dxa"/>
              <w:bottom w:w="0" w:type="dxa"/>
              <w:right w:w="15" w:type="dxa"/>
            </w:tcMar>
            <w:vAlign w:val="center"/>
          </w:tcPr>
          <w:p w14:paraId="2837D758">
            <w:pPr>
              <w:contextualSpacing/>
              <w:jc w:val="center"/>
              <w:rPr>
                <w:rFonts w:ascii="宋体" w:hAnsi="宋体" w:cs="宋体"/>
                <w:color w:val="000000"/>
                <w:kern w:val="0"/>
                <w:sz w:val="22"/>
              </w:rPr>
            </w:pPr>
            <w:r>
              <w:rPr>
                <w:rFonts w:hint="eastAsia" w:ascii="宋体" w:hAnsi="宋体" w:cs="宋体"/>
                <w:color w:val="000000"/>
                <w:kern w:val="0"/>
                <w:sz w:val="22"/>
              </w:rPr>
              <w:t>4</w:t>
            </w:r>
          </w:p>
        </w:tc>
        <w:tc>
          <w:tcPr>
            <w:tcW w:w="1276" w:type="pct"/>
            <w:noWrap w:val="0"/>
            <w:tcMar>
              <w:top w:w="15" w:type="dxa"/>
              <w:left w:w="15" w:type="dxa"/>
              <w:bottom w:w="0" w:type="dxa"/>
              <w:right w:w="15" w:type="dxa"/>
            </w:tcMar>
            <w:vAlign w:val="center"/>
          </w:tcPr>
          <w:p w14:paraId="41BD0BEF">
            <w:pPr>
              <w:jc w:val="center"/>
              <w:rPr>
                <w:rFonts w:hint="eastAsia" w:ascii="宋体" w:hAnsi="宋体" w:eastAsia="宋体" w:cs="宋体"/>
                <w:color w:val="000000"/>
                <w:kern w:val="0"/>
                <w:sz w:val="22"/>
                <w:lang w:val="en-US" w:eastAsia="zh-CN"/>
              </w:rPr>
            </w:pPr>
            <w:r>
              <w:rPr>
                <w:rFonts w:hint="eastAsia" w:ascii="宋体" w:hAnsi="宋体" w:cs="宋体"/>
                <w:szCs w:val="21"/>
              </w:rPr>
              <w:t>绝缘老化前</w:t>
            </w:r>
            <w:r>
              <w:rPr>
                <w:rFonts w:hint="eastAsia" w:ascii="宋体" w:hAnsi="宋体" w:cs="宋体"/>
                <w:szCs w:val="21"/>
                <w:lang w:val="en-US" w:eastAsia="zh-CN"/>
              </w:rPr>
              <w:t>拉力试验</w:t>
            </w:r>
          </w:p>
        </w:tc>
        <w:tc>
          <w:tcPr>
            <w:tcW w:w="1565" w:type="pct"/>
            <w:vMerge w:val="continue"/>
            <w:noWrap w:val="0"/>
            <w:tcMar>
              <w:top w:w="15" w:type="dxa"/>
              <w:left w:w="15" w:type="dxa"/>
              <w:bottom w:w="0" w:type="dxa"/>
              <w:right w:w="15" w:type="dxa"/>
            </w:tcMar>
            <w:vAlign w:val="center"/>
          </w:tcPr>
          <w:p w14:paraId="7DECE27F">
            <w:pPr>
              <w:contextualSpacing/>
              <w:jc w:val="center"/>
              <w:rPr>
                <w:rFonts w:ascii="宋体" w:hAnsi="宋体" w:cs="宋体"/>
                <w:color w:val="000000"/>
                <w:kern w:val="0"/>
                <w:sz w:val="22"/>
              </w:rPr>
            </w:pPr>
          </w:p>
        </w:tc>
        <w:tc>
          <w:tcPr>
            <w:tcW w:w="1727" w:type="pct"/>
            <w:noWrap w:val="0"/>
            <w:tcMar>
              <w:top w:w="15" w:type="dxa"/>
              <w:left w:w="15" w:type="dxa"/>
              <w:bottom w:w="0" w:type="dxa"/>
              <w:right w:w="15" w:type="dxa"/>
            </w:tcMar>
            <w:vAlign w:val="center"/>
          </w:tcPr>
          <w:p w14:paraId="23B7CAA7">
            <w:pPr>
              <w:jc w:val="center"/>
              <w:rPr>
                <w:rFonts w:hint="eastAsia" w:ascii="宋体" w:hAnsi="宋体" w:eastAsia="宋体" w:cs="宋体"/>
                <w:color w:val="000000"/>
                <w:kern w:val="0"/>
                <w:sz w:val="22"/>
                <w:lang w:eastAsia="zh-CN"/>
              </w:rPr>
            </w:pPr>
            <w:r>
              <w:rPr>
                <w:rFonts w:hint="eastAsia" w:ascii="宋体" w:hAnsi="宋体" w:cs="宋体"/>
                <w:szCs w:val="21"/>
              </w:rPr>
              <w:t>GB/T 2951.11</w:t>
            </w:r>
          </w:p>
        </w:tc>
      </w:tr>
      <w:tr w14:paraId="738F5A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53" w:hRule="atLeast"/>
        </w:trPr>
        <w:tc>
          <w:tcPr>
            <w:tcW w:w="430" w:type="pct"/>
            <w:noWrap w:val="0"/>
            <w:tcMar>
              <w:top w:w="15" w:type="dxa"/>
              <w:left w:w="15" w:type="dxa"/>
              <w:bottom w:w="0" w:type="dxa"/>
              <w:right w:w="15" w:type="dxa"/>
            </w:tcMar>
            <w:vAlign w:val="center"/>
          </w:tcPr>
          <w:p w14:paraId="6144A623">
            <w:pPr>
              <w:contextualSpacing/>
              <w:jc w:val="center"/>
              <w:rPr>
                <w:rFonts w:ascii="宋体" w:hAnsi="宋体" w:cs="宋体"/>
                <w:color w:val="000000"/>
                <w:kern w:val="0"/>
                <w:sz w:val="22"/>
              </w:rPr>
            </w:pPr>
            <w:r>
              <w:rPr>
                <w:rFonts w:hint="eastAsia" w:ascii="宋体" w:hAnsi="宋体" w:cs="宋体"/>
                <w:color w:val="000000"/>
                <w:kern w:val="0"/>
                <w:sz w:val="22"/>
              </w:rPr>
              <w:t>5</w:t>
            </w:r>
          </w:p>
        </w:tc>
        <w:tc>
          <w:tcPr>
            <w:tcW w:w="1276" w:type="pct"/>
            <w:noWrap w:val="0"/>
            <w:tcMar>
              <w:top w:w="15" w:type="dxa"/>
              <w:left w:w="15" w:type="dxa"/>
              <w:bottom w:w="0" w:type="dxa"/>
              <w:right w:w="15" w:type="dxa"/>
            </w:tcMar>
            <w:vAlign w:val="center"/>
          </w:tcPr>
          <w:p w14:paraId="36CF44C9">
            <w:pPr>
              <w:jc w:val="center"/>
              <w:rPr>
                <w:rFonts w:hint="eastAsia" w:ascii="宋体" w:hAnsi="宋体" w:eastAsia="宋体" w:cs="宋体"/>
                <w:color w:val="000000"/>
                <w:kern w:val="0"/>
                <w:sz w:val="22"/>
                <w:lang w:val="en-US" w:eastAsia="zh-CN"/>
              </w:rPr>
            </w:pPr>
            <w:r>
              <w:rPr>
                <w:rFonts w:hint="eastAsia" w:ascii="宋体" w:hAnsi="宋体" w:cs="宋体"/>
                <w:szCs w:val="21"/>
              </w:rPr>
              <w:t>绝缘</w:t>
            </w:r>
            <w:r>
              <w:rPr>
                <w:rFonts w:hint="eastAsia" w:ascii="宋体" w:hAnsi="宋体" w:cs="宋体"/>
                <w:szCs w:val="21"/>
                <w:lang w:val="en-US" w:eastAsia="zh-CN"/>
              </w:rPr>
              <w:t>空气烘箱老化后拉力试验</w:t>
            </w:r>
          </w:p>
        </w:tc>
        <w:tc>
          <w:tcPr>
            <w:tcW w:w="1565" w:type="pct"/>
            <w:vMerge w:val="continue"/>
            <w:noWrap w:val="0"/>
            <w:tcMar>
              <w:top w:w="15" w:type="dxa"/>
              <w:left w:w="15" w:type="dxa"/>
              <w:bottom w:w="0" w:type="dxa"/>
              <w:right w:w="15" w:type="dxa"/>
            </w:tcMar>
            <w:vAlign w:val="center"/>
          </w:tcPr>
          <w:p w14:paraId="67F67550">
            <w:pPr>
              <w:contextualSpacing/>
              <w:jc w:val="center"/>
              <w:rPr>
                <w:rFonts w:ascii="宋体" w:hAnsi="宋体" w:cs="宋体"/>
                <w:color w:val="000000"/>
                <w:kern w:val="0"/>
                <w:sz w:val="22"/>
              </w:rPr>
            </w:pPr>
          </w:p>
        </w:tc>
        <w:tc>
          <w:tcPr>
            <w:tcW w:w="1727" w:type="pct"/>
            <w:noWrap w:val="0"/>
            <w:tcMar>
              <w:top w:w="15" w:type="dxa"/>
              <w:left w:w="15" w:type="dxa"/>
              <w:bottom w:w="0" w:type="dxa"/>
              <w:right w:w="15" w:type="dxa"/>
            </w:tcMar>
            <w:vAlign w:val="center"/>
          </w:tcPr>
          <w:p w14:paraId="730261BA">
            <w:pPr>
              <w:jc w:val="center"/>
              <w:rPr>
                <w:rFonts w:hint="eastAsia" w:ascii="宋体" w:hAnsi="宋体" w:eastAsia="宋体" w:cs="宋体"/>
                <w:color w:val="000000"/>
                <w:kern w:val="0"/>
                <w:sz w:val="22"/>
                <w:lang w:eastAsia="zh-CN"/>
              </w:rPr>
            </w:pPr>
            <w:r>
              <w:rPr>
                <w:rFonts w:hint="eastAsia" w:ascii="宋体" w:hAnsi="宋体" w:cs="宋体"/>
                <w:szCs w:val="21"/>
              </w:rPr>
              <w:t>GB/T 2951.11</w:t>
            </w:r>
          </w:p>
        </w:tc>
      </w:tr>
      <w:tr w14:paraId="55AE84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52" w:hRule="atLeast"/>
        </w:trPr>
        <w:tc>
          <w:tcPr>
            <w:tcW w:w="430" w:type="pct"/>
            <w:noWrap w:val="0"/>
            <w:tcMar>
              <w:top w:w="15" w:type="dxa"/>
              <w:left w:w="15" w:type="dxa"/>
              <w:bottom w:w="0" w:type="dxa"/>
              <w:right w:w="15" w:type="dxa"/>
            </w:tcMar>
            <w:vAlign w:val="center"/>
          </w:tcPr>
          <w:p w14:paraId="4CC7B475">
            <w:pPr>
              <w:contextualSpacing/>
              <w:jc w:val="center"/>
              <w:rPr>
                <w:rFonts w:ascii="宋体" w:hAnsi="宋体" w:cs="宋体"/>
                <w:color w:val="000000"/>
                <w:kern w:val="0"/>
                <w:sz w:val="22"/>
              </w:rPr>
            </w:pPr>
            <w:r>
              <w:rPr>
                <w:rFonts w:hint="eastAsia" w:ascii="宋体" w:hAnsi="宋体" w:cs="宋体"/>
                <w:color w:val="000000"/>
                <w:kern w:val="0"/>
                <w:sz w:val="22"/>
              </w:rPr>
              <w:t>6</w:t>
            </w:r>
          </w:p>
        </w:tc>
        <w:tc>
          <w:tcPr>
            <w:tcW w:w="1276" w:type="pct"/>
            <w:noWrap w:val="0"/>
            <w:tcMar>
              <w:top w:w="15" w:type="dxa"/>
              <w:left w:w="15" w:type="dxa"/>
              <w:bottom w:w="0" w:type="dxa"/>
              <w:right w:w="15" w:type="dxa"/>
            </w:tcMar>
            <w:vAlign w:val="center"/>
          </w:tcPr>
          <w:p w14:paraId="06A7D64F">
            <w:pPr>
              <w:jc w:val="center"/>
              <w:rPr>
                <w:rFonts w:hint="eastAsia" w:ascii="宋体" w:hAnsi="宋体" w:eastAsia="宋体" w:cs="宋体"/>
                <w:color w:val="000000"/>
                <w:kern w:val="0"/>
                <w:sz w:val="22"/>
                <w:lang w:val="en-US" w:eastAsia="zh-CN"/>
              </w:rPr>
            </w:pPr>
            <w:r>
              <w:rPr>
                <w:rFonts w:hint="eastAsia" w:ascii="宋体" w:hAnsi="宋体" w:cs="宋体"/>
                <w:szCs w:val="21"/>
              </w:rPr>
              <w:t>绝缘</w:t>
            </w:r>
            <w:r>
              <w:rPr>
                <w:rFonts w:hint="eastAsia" w:ascii="宋体" w:hAnsi="宋体" w:cs="宋体"/>
                <w:szCs w:val="21"/>
                <w:lang w:val="en-US" w:eastAsia="zh-CN"/>
              </w:rPr>
              <w:t>空气弹老化后拉力试验</w:t>
            </w:r>
          </w:p>
        </w:tc>
        <w:tc>
          <w:tcPr>
            <w:tcW w:w="1565" w:type="pct"/>
            <w:vMerge w:val="continue"/>
            <w:noWrap w:val="0"/>
            <w:tcMar>
              <w:top w:w="15" w:type="dxa"/>
              <w:left w:w="15" w:type="dxa"/>
              <w:bottom w:w="0" w:type="dxa"/>
              <w:right w:w="15" w:type="dxa"/>
            </w:tcMar>
            <w:vAlign w:val="center"/>
          </w:tcPr>
          <w:p w14:paraId="4373A457">
            <w:pPr>
              <w:contextualSpacing/>
              <w:jc w:val="center"/>
              <w:rPr>
                <w:rFonts w:ascii="宋体" w:hAnsi="宋体" w:cs="宋体"/>
                <w:color w:val="000000"/>
                <w:kern w:val="0"/>
                <w:sz w:val="22"/>
              </w:rPr>
            </w:pPr>
          </w:p>
        </w:tc>
        <w:tc>
          <w:tcPr>
            <w:tcW w:w="1727" w:type="pct"/>
            <w:noWrap w:val="0"/>
            <w:tcMar>
              <w:top w:w="15" w:type="dxa"/>
              <w:left w:w="15" w:type="dxa"/>
              <w:bottom w:w="0" w:type="dxa"/>
              <w:right w:w="15" w:type="dxa"/>
            </w:tcMar>
            <w:vAlign w:val="center"/>
          </w:tcPr>
          <w:p w14:paraId="3323E190">
            <w:pPr>
              <w:jc w:val="center"/>
              <w:rPr>
                <w:rFonts w:ascii="宋体" w:hAnsi="宋体" w:cs="宋体"/>
                <w:szCs w:val="21"/>
              </w:rPr>
            </w:pPr>
            <w:r>
              <w:rPr>
                <w:rFonts w:hint="eastAsia" w:ascii="宋体" w:hAnsi="宋体" w:cs="宋体"/>
                <w:szCs w:val="21"/>
              </w:rPr>
              <w:t>GB/T 2951.11</w:t>
            </w:r>
          </w:p>
          <w:p w14:paraId="3077DFC4">
            <w:pPr>
              <w:jc w:val="center"/>
              <w:rPr>
                <w:rFonts w:hint="eastAsia" w:ascii="宋体" w:hAnsi="宋体" w:eastAsia="宋体" w:cs="宋体"/>
                <w:color w:val="000000"/>
                <w:kern w:val="0"/>
                <w:sz w:val="22"/>
                <w:lang w:eastAsia="zh-CN"/>
              </w:rPr>
            </w:pPr>
            <w:r>
              <w:rPr>
                <w:rFonts w:hint="eastAsia" w:ascii="宋体" w:hAnsi="宋体" w:cs="宋体"/>
                <w:szCs w:val="21"/>
              </w:rPr>
              <w:t>GB/T 2951.12</w:t>
            </w:r>
          </w:p>
        </w:tc>
      </w:tr>
      <w:tr w14:paraId="36C716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10" w:hRule="atLeast"/>
        </w:trPr>
        <w:tc>
          <w:tcPr>
            <w:tcW w:w="430" w:type="pct"/>
            <w:noWrap w:val="0"/>
            <w:tcMar>
              <w:top w:w="15" w:type="dxa"/>
              <w:left w:w="15" w:type="dxa"/>
              <w:bottom w:w="0" w:type="dxa"/>
              <w:right w:w="15" w:type="dxa"/>
            </w:tcMar>
            <w:vAlign w:val="center"/>
          </w:tcPr>
          <w:p w14:paraId="48563F66">
            <w:pPr>
              <w:contextualSpacing/>
              <w:jc w:val="center"/>
              <w:rPr>
                <w:rFonts w:ascii="宋体" w:hAnsi="宋体" w:cs="宋体"/>
                <w:color w:val="000000"/>
                <w:kern w:val="0"/>
                <w:sz w:val="22"/>
              </w:rPr>
            </w:pPr>
            <w:r>
              <w:rPr>
                <w:rFonts w:hint="eastAsia" w:ascii="宋体" w:hAnsi="宋体" w:cs="宋体"/>
                <w:color w:val="000000"/>
                <w:kern w:val="0"/>
                <w:sz w:val="22"/>
              </w:rPr>
              <w:t>7</w:t>
            </w:r>
          </w:p>
        </w:tc>
        <w:tc>
          <w:tcPr>
            <w:tcW w:w="1276" w:type="pct"/>
            <w:noWrap w:val="0"/>
            <w:tcMar>
              <w:top w:w="15" w:type="dxa"/>
              <w:left w:w="15" w:type="dxa"/>
              <w:bottom w:w="0" w:type="dxa"/>
              <w:right w:w="15" w:type="dxa"/>
            </w:tcMar>
            <w:vAlign w:val="center"/>
          </w:tcPr>
          <w:p w14:paraId="2CD12CEB">
            <w:pPr>
              <w:jc w:val="center"/>
              <w:rPr>
                <w:rFonts w:hint="eastAsia" w:ascii="宋体" w:hAnsi="宋体" w:eastAsia="宋体" w:cs="宋体"/>
                <w:color w:val="000000"/>
                <w:kern w:val="0"/>
                <w:sz w:val="22"/>
                <w:lang w:val="en-US" w:eastAsia="zh-CN"/>
              </w:rPr>
            </w:pPr>
            <w:r>
              <w:rPr>
                <w:rFonts w:hint="eastAsia" w:ascii="宋体" w:hAnsi="宋体" w:cs="宋体"/>
                <w:szCs w:val="21"/>
              </w:rPr>
              <w:t>绝缘热延伸试验</w:t>
            </w:r>
          </w:p>
        </w:tc>
        <w:tc>
          <w:tcPr>
            <w:tcW w:w="1565" w:type="pct"/>
            <w:vMerge w:val="continue"/>
            <w:noWrap w:val="0"/>
            <w:tcMar>
              <w:top w:w="15" w:type="dxa"/>
              <w:left w:w="15" w:type="dxa"/>
              <w:bottom w:w="0" w:type="dxa"/>
              <w:right w:w="15" w:type="dxa"/>
            </w:tcMar>
            <w:vAlign w:val="center"/>
          </w:tcPr>
          <w:p w14:paraId="570777C9">
            <w:pPr>
              <w:contextualSpacing/>
              <w:jc w:val="center"/>
              <w:rPr>
                <w:rFonts w:ascii="宋体" w:hAnsi="宋体" w:cs="宋体"/>
                <w:color w:val="000000"/>
                <w:kern w:val="0"/>
                <w:sz w:val="22"/>
              </w:rPr>
            </w:pPr>
          </w:p>
        </w:tc>
        <w:tc>
          <w:tcPr>
            <w:tcW w:w="1727" w:type="pct"/>
            <w:noWrap w:val="0"/>
            <w:tcMar>
              <w:top w:w="15" w:type="dxa"/>
              <w:left w:w="15" w:type="dxa"/>
              <w:bottom w:w="0" w:type="dxa"/>
              <w:right w:w="15" w:type="dxa"/>
            </w:tcMar>
            <w:vAlign w:val="center"/>
          </w:tcPr>
          <w:p w14:paraId="58D58DEB">
            <w:pPr>
              <w:jc w:val="center"/>
              <w:rPr>
                <w:rFonts w:hint="eastAsia" w:ascii="宋体" w:hAnsi="宋体" w:eastAsia="宋体" w:cs="宋体"/>
                <w:color w:val="000000"/>
                <w:kern w:val="0"/>
                <w:sz w:val="22"/>
                <w:lang w:eastAsia="zh-CN"/>
              </w:rPr>
            </w:pPr>
            <w:r>
              <w:rPr>
                <w:rFonts w:hint="eastAsia" w:ascii="宋体" w:hAnsi="宋体" w:cs="宋体"/>
                <w:szCs w:val="21"/>
              </w:rPr>
              <w:t>GB/T2951.21</w:t>
            </w:r>
          </w:p>
        </w:tc>
      </w:tr>
      <w:tr w14:paraId="40F20A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10" w:hRule="atLeast"/>
        </w:trPr>
        <w:tc>
          <w:tcPr>
            <w:tcW w:w="430" w:type="pct"/>
            <w:noWrap w:val="0"/>
            <w:tcMar>
              <w:top w:w="15" w:type="dxa"/>
              <w:left w:w="15" w:type="dxa"/>
              <w:bottom w:w="0" w:type="dxa"/>
              <w:right w:w="15" w:type="dxa"/>
            </w:tcMar>
            <w:vAlign w:val="center"/>
          </w:tcPr>
          <w:p w14:paraId="6DA67FC0">
            <w:pPr>
              <w:contextualSpacing/>
              <w:jc w:val="center"/>
              <w:rPr>
                <w:rFonts w:ascii="宋体" w:hAnsi="宋体" w:cs="宋体"/>
                <w:color w:val="000000"/>
                <w:kern w:val="0"/>
                <w:sz w:val="22"/>
              </w:rPr>
            </w:pPr>
            <w:r>
              <w:rPr>
                <w:rFonts w:hint="eastAsia" w:ascii="宋体" w:hAnsi="宋体" w:cs="宋体"/>
                <w:color w:val="000000"/>
                <w:kern w:val="0"/>
                <w:sz w:val="22"/>
              </w:rPr>
              <w:t>8</w:t>
            </w:r>
          </w:p>
        </w:tc>
        <w:tc>
          <w:tcPr>
            <w:tcW w:w="1276" w:type="pct"/>
            <w:noWrap w:val="0"/>
            <w:tcMar>
              <w:top w:w="15" w:type="dxa"/>
              <w:left w:w="15" w:type="dxa"/>
              <w:bottom w:w="0" w:type="dxa"/>
              <w:right w:w="15" w:type="dxa"/>
            </w:tcMar>
            <w:vAlign w:val="center"/>
          </w:tcPr>
          <w:p w14:paraId="3AFC0671">
            <w:pPr>
              <w:jc w:val="center"/>
              <w:rPr>
                <w:rFonts w:hint="eastAsia" w:ascii="宋体" w:hAnsi="宋体" w:eastAsia="宋体" w:cs="宋体"/>
                <w:color w:val="000000"/>
                <w:kern w:val="0"/>
                <w:sz w:val="22"/>
                <w:lang w:val="en-US" w:eastAsia="zh-CN"/>
              </w:rPr>
            </w:pPr>
            <w:r>
              <w:rPr>
                <w:rFonts w:hint="eastAsia" w:ascii="宋体" w:hAnsi="宋体" w:cs="宋体"/>
                <w:szCs w:val="21"/>
                <w:lang w:val="en-US" w:eastAsia="zh-CN"/>
              </w:rPr>
              <w:t>护套</w:t>
            </w:r>
            <w:r>
              <w:rPr>
                <w:rFonts w:hint="eastAsia" w:ascii="宋体" w:hAnsi="宋体" w:cs="宋体"/>
                <w:szCs w:val="21"/>
              </w:rPr>
              <w:t>老化前</w:t>
            </w:r>
            <w:r>
              <w:rPr>
                <w:rFonts w:hint="eastAsia" w:ascii="宋体" w:hAnsi="宋体" w:cs="宋体"/>
                <w:szCs w:val="21"/>
                <w:lang w:val="en-US" w:eastAsia="zh-CN"/>
              </w:rPr>
              <w:t>拉力试验</w:t>
            </w:r>
          </w:p>
        </w:tc>
        <w:tc>
          <w:tcPr>
            <w:tcW w:w="1565" w:type="pct"/>
            <w:vMerge w:val="continue"/>
            <w:noWrap w:val="0"/>
            <w:tcMar>
              <w:top w:w="15" w:type="dxa"/>
              <w:left w:w="15" w:type="dxa"/>
              <w:bottom w:w="0" w:type="dxa"/>
              <w:right w:w="15" w:type="dxa"/>
            </w:tcMar>
            <w:vAlign w:val="center"/>
          </w:tcPr>
          <w:p w14:paraId="0B36817B">
            <w:pPr>
              <w:contextualSpacing/>
              <w:jc w:val="center"/>
              <w:rPr>
                <w:rFonts w:ascii="宋体" w:hAnsi="宋体" w:cs="宋体"/>
                <w:color w:val="000000"/>
                <w:kern w:val="0"/>
                <w:sz w:val="22"/>
              </w:rPr>
            </w:pPr>
          </w:p>
        </w:tc>
        <w:tc>
          <w:tcPr>
            <w:tcW w:w="1727" w:type="pct"/>
            <w:noWrap w:val="0"/>
            <w:tcMar>
              <w:top w:w="15" w:type="dxa"/>
              <w:left w:w="15" w:type="dxa"/>
              <w:bottom w:w="0" w:type="dxa"/>
              <w:right w:w="15" w:type="dxa"/>
            </w:tcMar>
            <w:vAlign w:val="center"/>
          </w:tcPr>
          <w:p w14:paraId="75AA44DA">
            <w:pPr>
              <w:jc w:val="center"/>
              <w:rPr>
                <w:rFonts w:hint="eastAsia" w:ascii="宋体" w:hAnsi="宋体" w:eastAsia="宋体" w:cs="宋体"/>
                <w:color w:val="000000"/>
                <w:kern w:val="0"/>
                <w:sz w:val="22"/>
                <w:lang w:eastAsia="zh-CN"/>
              </w:rPr>
            </w:pPr>
            <w:r>
              <w:rPr>
                <w:rFonts w:hint="eastAsia" w:ascii="宋体" w:hAnsi="宋体" w:cs="宋体"/>
                <w:szCs w:val="21"/>
              </w:rPr>
              <w:t>GB/T 2951.11</w:t>
            </w:r>
          </w:p>
        </w:tc>
      </w:tr>
      <w:tr w14:paraId="676D51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10" w:hRule="atLeast"/>
        </w:trPr>
        <w:tc>
          <w:tcPr>
            <w:tcW w:w="430" w:type="pct"/>
            <w:noWrap w:val="0"/>
            <w:tcMar>
              <w:top w:w="15" w:type="dxa"/>
              <w:left w:w="15" w:type="dxa"/>
              <w:bottom w:w="0" w:type="dxa"/>
              <w:right w:w="15" w:type="dxa"/>
            </w:tcMar>
            <w:vAlign w:val="center"/>
          </w:tcPr>
          <w:p w14:paraId="08312224">
            <w:pPr>
              <w:contextualSpacing/>
              <w:jc w:val="center"/>
              <w:rPr>
                <w:rFonts w:ascii="宋体" w:hAnsi="宋体" w:cs="宋体"/>
                <w:color w:val="000000"/>
                <w:kern w:val="0"/>
                <w:sz w:val="22"/>
              </w:rPr>
            </w:pPr>
            <w:r>
              <w:rPr>
                <w:rFonts w:hint="eastAsia" w:ascii="宋体" w:hAnsi="宋体" w:cs="宋体"/>
                <w:color w:val="000000"/>
                <w:kern w:val="0"/>
                <w:sz w:val="22"/>
              </w:rPr>
              <w:t>9</w:t>
            </w:r>
          </w:p>
        </w:tc>
        <w:tc>
          <w:tcPr>
            <w:tcW w:w="1276" w:type="pct"/>
            <w:noWrap w:val="0"/>
            <w:tcMar>
              <w:top w:w="15" w:type="dxa"/>
              <w:left w:w="15" w:type="dxa"/>
              <w:bottom w:w="0" w:type="dxa"/>
              <w:right w:w="15" w:type="dxa"/>
            </w:tcMar>
            <w:vAlign w:val="center"/>
          </w:tcPr>
          <w:p w14:paraId="23D9FCF3">
            <w:pPr>
              <w:jc w:val="center"/>
              <w:rPr>
                <w:rFonts w:hint="eastAsia" w:ascii="宋体" w:hAnsi="宋体" w:eastAsia="宋体" w:cs="宋体"/>
                <w:color w:val="000000"/>
                <w:kern w:val="0"/>
                <w:sz w:val="22"/>
                <w:lang w:val="en-US" w:eastAsia="zh-CN"/>
              </w:rPr>
            </w:pPr>
            <w:r>
              <w:rPr>
                <w:rFonts w:hint="eastAsia" w:ascii="宋体" w:hAnsi="宋体" w:cs="宋体"/>
                <w:szCs w:val="21"/>
                <w:lang w:val="en-US" w:eastAsia="zh-CN"/>
              </w:rPr>
              <w:t>护套空气烘箱老化后拉力试验</w:t>
            </w:r>
          </w:p>
        </w:tc>
        <w:tc>
          <w:tcPr>
            <w:tcW w:w="1565" w:type="pct"/>
            <w:vMerge w:val="continue"/>
            <w:noWrap w:val="0"/>
            <w:tcMar>
              <w:top w:w="15" w:type="dxa"/>
              <w:left w:w="15" w:type="dxa"/>
              <w:bottom w:w="0" w:type="dxa"/>
              <w:right w:w="15" w:type="dxa"/>
            </w:tcMar>
            <w:vAlign w:val="center"/>
          </w:tcPr>
          <w:p w14:paraId="34B2C0A9">
            <w:pPr>
              <w:contextualSpacing/>
              <w:jc w:val="center"/>
              <w:rPr>
                <w:rFonts w:ascii="宋体" w:hAnsi="宋体" w:cs="宋体"/>
                <w:color w:val="000000"/>
                <w:kern w:val="0"/>
                <w:sz w:val="22"/>
              </w:rPr>
            </w:pPr>
          </w:p>
        </w:tc>
        <w:tc>
          <w:tcPr>
            <w:tcW w:w="1727" w:type="pct"/>
            <w:noWrap w:val="0"/>
            <w:tcMar>
              <w:top w:w="15" w:type="dxa"/>
              <w:left w:w="15" w:type="dxa"/>
              <w:bottom w:w="0" w:type="dxa"/>
              <w:right w:w="15" w:type="dxa"/>
            </w:tcMar>
            <w:vAlign w:val="center"/>
          </w:tcPr>
          <w:p w14:paraId="6B2728CC">
            <w:pPr>
              <w:jc w:val="center"/>
              <w:rPr>
                <w:rFonts w:hint="eastAsia" w:ascii="宋体" w:hAnsi="宋体" w:eastAsia="宋体" w:cs="宋体"/>
                <w:color w:val="000000"/>
                <w:kern w:val="0"/>
                <w:sz w:val="22"/>
                <w:lang w:eastAsia="zh-CN"/>
              </w:rPr>
            </w:pPr>
            <w:r>
              <w:rPr>
                <w:rFonts w:hint="eastAsia" w:ascii="宋体" w:hAnsi="宋体" w:cs="宋体"/>
                <w:szCs w:val="21"/>
              </w:rPr>
              <w:t>GB/T 2951.11</w:t>
            </w:r>
          </w:p>
        </w:tc>
      </w:tr>
      <w:tr w14:paraId="55DA76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10" w:hRule="atLeast"/>
        </w:trPr>
        <w:tc>
          <w:tcPr>
            <w:tcW w:w="430" w:type="pct"/>
            <w:noWrap w:val="0"/>
            <w:tcMar>
              <w:top w:w="15" w:type="dxa"/>
              <w:left w:w="15" w:type="dxa"/>
              <w:bottom w:w="0" w:type="dxa"/>
              <w:right w:w="15" w:type="dxa"/>
            </w:tcMar>
            <w:vAlign w:val="center"/>
          </w:tcPr>
          <w:p w14:paraId="403F9041">
            <w:pPr>
              <w:contextualSpacing/>
              <w:jc w:val="center"/>
              <w:rPr>
                <w:rFonts w:ascii="宋体" w:hAnsi="宋体" w:cs="宋体"/>
                <w:color w:val="000000"/>
                <w:kern w:val="0"/>
                <w:sz w:val="22"/>
              </w:rPr>
            </w:pPr>
            <w:r>
              <w:rPr>
                <w:rFonts w:hint="eastAsia" w:ascii="宋体" w:hAnsi="宋体" w:cs="宋体"/>
                <w:color w:val="000000"/>
                <w:kern w:val="0"/>
                <w:sz w:val="22"/>
              </w:rPr>
              <w:t>10</w:t>
            </w:r>
          </w:p>
        </w:tc>
        <w:tc>
          <w:tcPr>
            <w:tcW w:w="1276" w:type="pct"/>
            <w:noWrap w:val="0"/>
            <w:tcMar>
              <w:top w:w="15" w:type="dxa"/>
              <w:left w:w="15" w:type="dxa"/>
              <w:bottom w:w="0" w:type="dxa"/>
              <w:right w:w="15" w:type="dxa"/>
            </w:tcMar>
            <w:vAlign w:val="center"/>
          </w:tcPr>
          <w:p w14:paraId="0E84C892">
            <w:pPr>
              <w:jc w:val="center"/>
              <w:rPr>
                <w:rFonts w:hint="eastAsia" w:ascii="宋体" w:hAnsi="宋体" w:eastAsia="宋体" w:cs="宋体"/>
                <w:color w:val="000000"/>
                <w:kern w:val="0"/>
                <w:sz w:val="22"/>
                <w:lang w:val="en-US" w:eastAsia="zh-CN"/>
              </w:rPr>
            </w:pPr>
            <w:r>
              <w:rPr>
                <w:rFonts w:hint="eastAsia" w:ascii="宋体" w:hAnsi="宋体" w:cs="宋体"/>
                <w:szCs w:val="21"/>
                <w:lang w:val="en-US" w:eastAsia="zh-CN"/>
              </w:rPr>
              <w:t>护套热延伸试验</w:t>
            </w:r>
          </w:p>
        </w:tc>
        <w:tc>
          <w:tcPr>
            <w:tcW w:w="1565" w:type="pct"/>
            <w:vMerge w:val="continue"/>
            <w:noWrap w:val="0"/>
            <w:tcMar>
              <w:top w:w="15" w:type="dxa"/>
              <w:left w:w="15" w:type="dxa"/>
              <w:bottom w:w="0" w:type="dxa"/>
              <w:right w:w="15" w:type="dxa"/>
            </w:tcMar>
            <w:vAlign w:val="center"/>
          </w:tcPr>
          <w:p w14:paraId="7EC0DD9B">
            <w:pPr>
              <w:contextualSpacing/>
              <w:jc w:val="center"/>
              <w:rPr>
                <w:rFonts w:ascii="宋体" w:hAnsi="宋体" w:cs="宋体"/>
                <w:color w:val="000000"/>
                <w:kern w:val="0"/>
                <w:sz w:val="22"/>
              </w:rPr>
            </w:pPr>
          </w:p>
        </w:tc>
        <w:tc>
          <w:tcPr>
            <w:tcW w:w="1727" w:type="pct"/>
            <w:noWrap w:val="0"/>
            <w:tcMar>
              <w:top w:w="15" w:type="dxa"/>
              <w:left w:w="15" w:type="dxa"/>
              <w:bottom w:w="0" w:type="dxa"/>
              <w:right w:w="15" w:type="dxa"/>
            </w:tcMar>
            <w:vAlign w:val="center"/>
          </w:tcPr>
          <w:p w14:paraId="5B9DDD38">
            <w:pPr>
              <w:jc w:val="center"/>
              <w:rPr>
                <w:rFonts w:hint="eastAsia" w:ascii="宋体" w:hAnsi="宋体" w:eastAsia="宋体" w:cs="宋体"/>
                <w:color w:val="000000"/>
                <w:kern w:val="0"/>
                <w:sz w:val="22"/>
                <w:lang w:eastAsia="zh-CN"/>
              </w:rPr>
            </w:pPr>
            <w:r>
              <w:rPr>
                <w:rFonts w:hint="eastAsia" w:ascii="宋体" w:hAnsi="宋体" w:cs="宋体"/>
                <w:szCs w:val="21"/>
              </w:rPr>
              <w:t>GB/T2951.21</w:t>
            </w:r>
          </w:p>
        </w:tc>
      </w:tr>
      <w:tr w14:paraId="42BE47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10" w:hRule="atLeast"/>
        </w:trPr>
        <w:tc>
          <w:tcPr>
            <w:tcW w:w="430" w:type="pct"/>
            <w:noWrap w:val="0"/>
            <w:tcMar>
              <w:top w:w="15" w:type="dxa"/>
              <w:left w:w="15" w:type="dxa"/>
              <w:bottom w:w="0" w:type="dxa"/>
              <w:right w:w="15" w:type="dxa"/>
            </w:tcMar>
            <w:vAlign w:val="center"/>
          </w:tcPr>
          <w:p w14:paraId="4716022B">
            <w:pPr>
              <w:contextualSpacing/>
              <w:jc w:val="center"/>
              <w:rPr>
                <w:rFonts w:ascii="宋体" w:hAnsi="宋体" w:cs="宋体"/>
                <w:color w:val="000000"/>
                <w:kern w:val="0"/>
                <w:sz w:val="22"/>
              </w:rPr>
            </w:pPr>
            <w:r>
              <w:rPr>
                <w:rFonts w:hint="eastAsia" w:ascii="宋体" w:hAnsi="宋体" w:cs="宋体"/>
                <w:color w:val="000000"/>
                <w:kern w:val="0"/>
                <w:sz w:val="22"/>
              </w:rPr>
              <w:t>11</w:t>
            </w:r>
          </w:p>
        </w:tc>
        <w:tc>
          <w:tcPr>
            <w:tcW w:w="1276" w:type="pct"/>
            <w:noWrap w:val="0"/>
            <w:tcMar>
              <w:top w:w="15" w:type="dxa"/>
              <w:left w:w="15" w:type="dxa"/>
              <w:bottom w:w="0" w:type="dxa"/>
              <w:right w:w="15" w:type="dxa"/>
            </w:tcMar>
            <w:vAlign w:val="center"/>
          </w:tcPr>
          <w:p w14:paraId="5AA20F0C">
            <w:pPr>
              <w:jc w:val="center"/>
              <w:rPr>
                <w:rFonts w:hint="eastAsia" w:ascii="宋体" w:hAnsi="宋体" w:eastAsia="宋体" w:cs="宋体"/>
                <w:color w:val="000000"/>
                <w:kern w:val="0"/>
                <w:sz w:val="22"/>
                <w:lang w:val="en-US" w:eastAsia="zh-CN"/>
              </w:rPr>
            </w:pPr>
            <w:r>
              <w:rPr>
                <w:rFonts w:hint="eastAsia" w:ascii="宋体" w:hAnsi="宋体" w:cs="宋体"/>
                <w:szCs w:val="21"/>
                <w:lang w:val="en-US" w:eastAsia="zh-CN"/>
              </w:rPr>
              <w:t>曲挠试验及浸水后的电压试验</w:t>
            </w:r>
          </w:p>
        </w:tc>
        <w:tc>
          <w:tcPr>
            <w:tcW w:w="1565" w:type="pct"/>
            <w:vMerge w:val="continue"/>
            <w:noWrap w:val="0"/>
            <w:tcMar>
              <w:top w:w="15" w:type="dxa"/>
              <w:left w:w="15" w:type="dxa"/>
              <w:bottom w:w="0" w:type="dxa"/>
              <w:right w:w="15" w:type="dxa"/>
            </w:tcMar>
            <w:vAlign w:val="center"/>
          </w:tcPr>
          <w:p w14:paraId="46E49D78">
            <w:pPr>
              <w:contextualSpacing/>
              <w:jc w:val="center"/>
              <w:rPr>
                <w:rFonts w:ascii="宋体" w:hAnsi="宋体" w:cs="宋体"/>
                <w:color w:val="000000"/>
                <w:kern w:val="0"/>
                <w:sz w:val="22"/>
              </w:rPr>
            </w:pPr>
          </w:p>
        </w:tc>
        <w:tc>
          <w:tcPr>
            <w:tcW w:w="1727" w:type="pct"/>
            <w:noWrap w:val="0"/>
            <w:tcMar>
              <w:top w:w="15" w:type="dxa"/>
              <w:left w:w="15" w:type="dxa"/>
              <w:bottom w:w="0" w:type="dxa"/>
              <w:right w:w="15" w:type="dxa"/>
            </w:tcMar>
            <w:vAlign w:val="center"/>
          </w:tcPr>
          <w:p w14:paraId="5C4667ED">
            <w:pPr>
              <w:jc w:val="center"/>
              <w:rPr>
                <w:rFonts w:hint="eastAsia" w:ascii="宋体" w:hAnsi="宋体" w:eastAsia="宋体" w:cs="宋体"/>
                <w:color w:val="000000"/>
                <w:kern w:val="0"/>
                <w:sz w:val="22"/>
                <w:lang w:eastAsia="zh-CN"/>
              </w:rPr>
            </w:pPr>
            <w:r>
              <w:rPr>
                <w:rFonts w:hint="eastAsia" w:ascii="宋体" w:hAnsi="宋体" w:cs="宋体"/>
                <w:szCs w:val="21"/>
              </w:rPr>
              <w:t>GB/T 5013.</w:t>
            </w:r>
            <w:r>
              <w:rPr>
                <w:rFonts w:hint="eastAsia" w:ascii="宋体" w:hAnsi="宋体" w:cs="宋体"/>
                <w:szCs w:val="21"/>
                <w:lang w:val="en-US" w:eastAsia="zh-CN"/>
              </w:rPr>
              <w:t>2</w:t>
            </w:r>
          </w:p>
        </w:tc>
      </w:tr>
    </w:tbl>
    <w:p w14:paraId="2647E5A7">
      <w:pPr>
        <w:snapToGrid w:val="0"/>
        <w:spacing w:line="440" w:lineRule="exact"/>
        <w:jc w:val="center"/>
        <w:rPr>
          <w:rFonts w:hint="eastAsia" w:ascii="方正仿宋_GBK" w:hAnsi="方正仿宋_GBK" w:eastAsia="方正仿宋_GBK" w:cs="方正仿宋_GBK"/>
          <w:color w:val="000000"/>
          <w:sz w:val="28"/>
          <w:szCs w:val="28"/>
        </w:rPr>
      </w:pPr>
      <w:r>
        <w:rPr>
          <w:rFonts w:ascii="Times New Roman" w:hAnsi="Times New Roman" w:eastAsia="方正仿宋_GBK"/>
          <w:color w:val="000000"/>
          <w:sz w:val="28"/>
          <w:szCs w:val="28"/>
        </w:rPr>
        <w:t>表</w:t>
      </w:r>
      <w:r>
        <w:rPr>
          <w:rFonts w:hint="eastAsia" w:ascii="Times New Roman" w:hAnsi="Times New Roman" w:eastAsia="方正仿宋_GBK"/>
          <w:color w:val="000000"/>
          <w:sz w:val="28"/>
          <w:szCs w:val="28"/>
          <w:lang w:val="en-US" w:eastAsia="zh-CN"/>
        </w:rPr>
        <w:t>3</w:t>
      </w:r>
      <w:r>
        <w:rPr>
          <w:rFonts w:ascii="Times New Roman" w:hAnsi="Times New Roman" w:eastAsia="方正仿宋_GBK"/>
          <w:color w:val="000000"/>
          <w:sz w:val="28"/>
          <w:szCs w:val="28"/>
        </w:rPr>
        <w:t xml:space="preserve">  </w:t>
      </w:r>
      <w:r>
        <w:rPr>
          <w:rFonts w:hint="eastAsia" w:ascii="方正仿宋_GBK" w:hAnsi="方正仿宋_GBK" w:eastAsia="方正仿宋_GBK" w:cs="方正仿宋_GBK"/>
          <w:color w:val="000000"/>
          <w:sz w:val="28"/>
          <w:szCs w:val="28"/>
          <w:lang w:val="en-US" w:eastAsia="zh-CN"/>
        </w:rPr>
        <w:t>额定电压450/750V及以下交联聚烯烃绝缘电线和电缆</w:t>
      </w:r>
      <w:r>
        <w:rPr>
          <w:rFonts w:hint="eastAsia" w:ascii="方正仿宋_GBK" w:hAnsi="方正仿宋_GBK" w:eastAsia="方正仿宋_GBK" w:cs="方正仿宋_GBK"/>
          <w:color w:val="000000"/>
          <w:sz w:val="28"/>
          <w:szCs w:val="28"/>
        </w:rPr>
        <w:t>检验项目</w:t>
      </w:r>
    </w:p>
    <w:tbl>
      <w:tblPr>
        <w:tblStyle w:val="10"/>
        <w:tblW w:w="499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770"/>
        <w:gridCol w:w="2285"/>
        <w:gridCol w:w="2802"/>
        <w:gridCol w:w="3092"/>
      </w:tblGrid>
      <w:tr w14:paraId="2A6EEF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43" w:hRule="atLeast"/>
          <w:tblHeader/>
        </w:trPr>
        <w:tc>
          <w:tcPr>
            <w:tcW w:w="430" w:type="pct"/>
            <w:noWrap w:val="0"/>
            <w:tcMar>
              <w:top w:w="15" w:type="dxa"/>
              <w:left w:w="15" w:type="dxa"/>
              <w:bottom w:w="0" w:type="dxa"/>
              <w:right w:w="15" w:type="dxa"/>
            </w:tcMar>
            <w:vAlign w:val="center"/>
          </w:tcPr>
          <w:p w14:paraId="65C6AC6D">
            <w:pPr>
              <w:contextualSpacing/>
              <w:jc w:val="center"/>
              <w:rPr>
                <w:rFonts w:ascii="宋体" w:hAnsi="宋体" w:cs="宋体"/>
                <w:color w:val="000000"/>
                <w:kern w:val="0"/>
                <w:sz w:val="22"/>
              </w:rPr>
            </w:pPr>
            <w:r>
              <w:rPr>
                <w:rFonts w:hint="eastAsia" w:ascii="宋体" w:hAnsi="宋体" w:cs="宋体"/>
                <w:color w:val="000000"/>
                <w:kern w:val="0"/>
                <w:sz w:val="22"/>
              </w:rPr>
              <w:t>序号</w:t>
            </w:r>
          </w:p>
        </w:tc>
        <w:tc>
          <w:tcPr>
            <w:tcW w:w="1276" w:type="pct"/>
            <w:noWrap w:val="0"/>
            <w:tcMar>
              <w:top w:w="15" w:type="dxa"/>
              <w:left w:w="15" w:type="dxa"/>
              <w:bottom w:w="0" w:type="dxa"/>
              <w:right w:w="15" w:type="dxa"/>
            </w:tcMar>
            <w:vAlign w:val="center"/>
          </w:tcPr>
          <w:p w14:paraId="568DB112">
            <w:pPr>
              <w:contextualSpacing/>
              <w:jc w:val="center"/>
              <w:rPr>
                <w:rFonts w:ascii="宋体" w:hAnsi="宋体" w:cs="宋体"/>
                <w:color w:val="000000"/>
                <w:kern w:val="0"/>
                <w:sz w:val="22"/>
              </w:rPr>
            </w:pPr>
            <w:r>
              <w:rPr>
                <w:rFonts w:hint="eastAsia" w:ascii="宋体" w:hAnsi="宋体" w:cs="宋体"/>
                <w:color w:val="000000"/>
                <w:kern w:val="0"/>
                <w:sz w:val="22"/>
              </w:rPr>
              <w:t>检验检测项目</w:t>
            </w:r>
          </w:p>
        </w:tc>
        <w:tc>
          <w:tcPr>
            <w:tcW w:w="1565" w:type="pct"/>
            <w:noWrap w:val="0"/>
            <w:tcMar>
              <w:top w:w="15" w:type="dxa"/>
              <w:left w:w="15" w:type="dxa"/>
              <w:bottom w:w="0" w:type="dxa"/>
              <w:right w:w="15" w:type="dxa"/>
            </w:tcMar>
            <w:vAlign w:val="center"/>
          </w:tcPr>
          <w:p w14:paraId="2071B9C8">
            <w:pPr>
              <w:contextualSpacing/>
              <w:jc w:val="center"/>
              <w:rPr>
                <w:rFonts w:ascii="宋体" w:hAnsi="宋体" w:cs="宋体"/>
                <w:color w:val="000000"/>
                <w:kern w:val="0"/>
                <w:sz w:val="22"/>
              </w:rPr>
            </w:pPr>
            <w:r>
              <w:rPr>
                <w:rFonts w:hint="eastAsia" w:ascii="宋体" w:hAnsi="宋体" w:cs="宋体"/>
                <w:color w:val="000000"/>
                <w:kern w:val="0"/>
                <w:sz w:val="22"/>
              </w:rPr>
              <w:t>检验检测依据</w:t>
            </w:r>
          </w:p>
        </w:tc>
        <w:tc>
          <w:tcPr>
            <w:tcW w:w="1727" w:type="pct"/>
            <w:noWrap w:val="0"/>
            <w:tcMar>
              <w:top w:w="15" w:type="dxa"/>
              <w:left w:w="15" w:type="dxa"/>
              <w:bottom w:w="0" w:type="dxa"/>
              <w:right w:w="15" w:type="dxa"/>
            </w:tcMar>
            <w:vAlign w:val="center"/>
          </w:tcPr>
          <w:p w14:paraId="5E59385F">
            <w:pPr>
              <w:contextualSpacing/>
              <w:jc w:val="center"/>
              <w:rPr>
                <w:rFonts w:ascii="宋体" w:hAnsi="宋体" w:cs="宋体"/>
                <w:color w:val="000000"/>
                <w:kern w:val="0"/>
                <w:sz w:val="22"/>
              </w:rPr>
            </w:pPr>
            <w:r>
              <w:rPr>
                <w:rFonts w:hint="eastAsia" w:ascii="宋体" w:hAnsi="宋体" w:cs="宋体"/>
                <w:color w:val="000000"/>
                <w:kern w:val="0"/>
                <w:sz w:val="22"/>
              </w:rPr>
              <w:t>检验检测方法</w:t>
            </w:r>
          </w:p>
        </w:tc>
      </w:tr>
      <w:tr w14:paraId="48E65E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10" w:hRule="atLeast"/>
        </w:trPr>
        <w:tc>
          <w:tcPr>
            <w:tcW w:w="430" w:type="pct"/>
            <w:noWrap w:val="0"/>
            <w:tcMar>
              <w:top w:w="15" w:type="dxa"/>
              <w:left w:w="15" w:type="dxa"/>
              <w:bottom w:w="0" w:type="dxa"/>
              <w:right w:w="15" w:type="dxa"/>
            </w:tcMar>
            <w:vAlign w:val="center"/>
          </w:tcPr>
          <w:p w14:paraId="20A71F4A">
            <w:pPr>
              <w:contextualSpacing/>
              <w:jc w:val="center"/>
              <w:rPr>
                <w:rFonts w:ascii="宋体" w:hAnsi="宋体" w:cs="宋体"/>
                <w:color w:val="000000"/>
                <w:kern w:val="0"/>
                <w:sz w:val="22"/>
              </w:rPr>
            </w:pPr>
            <w:r>
              <w:rPr>
                <w:rFonts w:hint="eastAsia" w:ascii="宋体" w:hAnsi="宋体" w:cs="宋体"/>
                <w:color w:val="000000"/>
                <w:kern w:val="0"/>
                <w:sz w:val="22"/>
              </w:rPr>
              <w:t>1</w:t>
            </w:r>
          </w:p>
        </w:tc>
        <w:tc>
          <w:tcPr>
            <w:tcW w:w="1276" w:type="pct"/>
            <w:noWrap w:val="0"/>
            <w:tcMar>
              <w:top w:w="15" w:type="dxa"/>
              <w:left w:w="15" w:type="dxa"/>
              <w:bottom w:w="0" w:type="dxa"/>
              <w:right w:w="15" w:type="dxa"/>
            </w:tcMar>
            <w:vAlign w:val="center"/>
          </w:tcPr>
          <w:p w14:paraId="2C9061D5">
            <w:pPr>
              <w:jc w:val="center"/>
              <w:rPr>
                <w:rFonts w:hint="eastAsia" w:ascii="宋体" w:hAnsi="宋体" w:eastAsia="宋体" w:cs="宋体"/>
                <w:color w:val="000000"/>
                <w:kern w:val="0"/>
                <w:sz w:val="22"/>
                <w:lang w:val="en-US" w:eastAsia="zh-CN"/>
              </w:rPr>
            </w:pPr>
            <w:r>
              <w:rPr>
                <w:rFonts w:hint="eastAsia" w:ascii="宋体" w:hAnsi="宋体" w:cs="宋体"/>
                <w:szCs w:val="21"/>
              </w:rPr>
              <w:t>导体电阻</w:t>
            </w:r>
          </w:p>
        </w:tc>
        <w:tc>
          <w:tcPr>
            <w:tcW w:w="1565" w:type="pct"/>
            <w:vMerge w:val="restart"/>
            <w:noWrap w:val="0"/>
            <w:tcMar>
              <w:top w:w="15" w:type="dxa"/>
              <w:left w:w="15" w:type="dxa"/>
              <w:bottom w:w="0" w:type="dxa"/>
              <w:right w:w="15" w:type="dxa"/>
            </w:tcMar>
            <w:vAlign w:val="center"/>
          </w:tcPr>
          <w:p w14:paraId="6536AC5D">
            <w:pPr>
              <w:contextualSpacing/>
              <w:jc w:val="center"/>
              <w:rPr>
                <w:rFonts w:hint="eastAsia" w:ascii="宋体" w:hAnsi="宋体" w:cs="宋体"/>
                <w:szCs w:val="21"/>
                <w:lang w:val="en-US" w:eastAsia="zh-CN"/>
              </w:rPr>
            </w:pPr>
            <w:r>
              <w:rPr>
                <w:rFonts w:hint="eastAsia" w:ascii="宋体" w:hAnsi="宋体" w:cs="宋体"/>
                <w:szCs w:val="21"/>
                <w:lang w:val="en-US" w:eastAsia="zh-CN"/>
              </w:rPr>
              <w:t>JB/T 10491—2022</w:t>
            </w:r>
          </w:p>
          <w:p w14:paraId="64A84838">
            <w:pPr>
              <w:contextualSpacing/>
              <w:jc w:val="center"/>
              <w:rPr>
                <w:rFonts w:hint="eastAsia" w:ascii="宋体" w:hAnsi="宋体" w:cs="宋体"/>
                <w:szCs w:val="21"/>
                <w:lang w:val="en-US" w:eastAsia="zh-CN"/>
              </w:rPr>
            </w:pPr>
          </w:p>
          <w:p w14:paraId="41A8C160">
            <w:pPr>
              <w:contextualSpacing/>
              <w:jc w:val="center"/>
              <w:rPr>
                <w:rFonts w:hint="eastAsia" w:ascii="宋体" w:hAnsi="宋体" w:cs="宋体"/>
                <w:szCs w:val="21"/>
                <w:lang w:val="en-US" w:eastAsia="zh-CN"/>
              </w:rPr>
            </w:pPr>
          </w:p>
          <w:p w14:paraId="6DF5CE7A">
            <w:pPr>
              <w:contextualSpacing/>
              <w:jc w:val="center"/>
              <w:rPr>
                <w:rFonts w:hint="eastAsia" w:ascii="宋体" w:hAnsi="宋体" w:cs="宋体"/>
                <w:szCs w:val="21"/>
                <w:lang w:val="en-US" w:eastAsia="zh-CN"/>
              </w:rPr>
            </w:pPr>
          </w:p>
          <w:p w14:paraId="6BC83764">
            <w:pPr>
              <w:contextualSpacing/>
              <w:jc w:val="center"/>
              <w:rPr>
                <w:rFonts w:hint="eastAsia" w:ascii="宋体" w:hAnsi="宋体" w:cs="宋体"/>
                <w:szCs w:val="21"/>
                <w:lang w:val="en-US" w:eastAsia="zh-CN"/>
              </w:rPr>
            </w:pPr>
          </w:p>
          <w:p w14:paraId="332C0C2D">
            <w:pPr>
              <w:contextualSpacing/>
              <w:jc w:val="center"/>
              <w:rPr>
                <w:rFonts w:hint="eastAsia" w:ascii="宋体" w:hAnsi="宋体" w:cs="宋体"/>
                <w:szCs w:val="21"/>
                <w:lang w:val="en-US" w:eastAsia="zh-CN"/>
              </w:rPr>
            </w:pPr>
          </w:p>
          <w:p w14:paraId="260F86B9">
            <w:pPr>
              <w:contextualSpacing/>
              <w:jc w:val="center"/>
              <w:rPr>
                <w:rFonts w:hint="eastAsia" w:ascii="宋体" w:hAnsi="宋体" w:cs="宋体"/>
                <w:szCs w:val="21"/>
                <w:lang w:val="en-US" w:eastAsia="zh-CN"/>
              </w:rPr>
            </w:pPr>
          </w:p>
          <w:p w14:paraId="4D0C5265">
            <w:pPr>
              <w:contextualSpacing/>
              <w:jc w:val="center"/>
              <w:rPr>
                <w:rFonts w:hint="eastAsia" w:ascii="宋体" w:hAnsi="宋体" w:cs="宋体"/>
                <w:szCs w:val="21"/>
                <w:lang w:val="en-US" w:eastAsia="zh-CN"/>
              </w:rPr>
            </w:pPr>
          </w:p>
          <w:p w14:paraId="447FB8BD">
            <w:pPr>
              <w:contextualSpacing/>
              <w:jc w:val="center"/>
              <w:rPr>
                <w:rFonts w:hint="eastAsia" w:ascii="宋体" w:hAnsi="宋体" w:cs="宋体"/>
                <w:szCs w:val="21"/>
                <w:lang w:val="en-US" w:eastAsia="zh-CN"/>
              </w:rPr>
            </w:pPr>
          </w:p>
          <w:p w14:paraId="4FB9D9C1">
            <w:pPr>
              <w:contextualSpacing/>
              <w:jc w:val="center"/>
              <w:rPr>
                <w:rFonts w:hint="eastAsia" w:ascii="宋体" w:hAnsi="宋体" w:cs="宋体"/>
                <w:szCs w:val="21"/>
                <w:lang w:val="en-US" w:eastAsia="zh-CN"/>
              </w:rPr>
            </w:pPr>
          </w:p>
          <w:p w14:paraId="5587574B">
            <w:pPr>
              <w:contextualSpacing/>
              <w:jc w:val="center"/>
              <w:rPr>
                <w:rFonts w:hint="eastAsia" w:ascii="宋体" w:hAnsi="宋体" w:cs="宋体"/>
                <w:szCs w:val="21"/>
                <w:lang w:val="en-US" w:eastAsia="zh-CN"/>
              </w:rPr>
            </w:pPr>
          </w:p>
          <w:p w14:paraId="784653E8">
            <w:pPr>
              <w:contextualSpacing/>
              <w:jc w:val="center"/>
              <w:rPr>
                <w:rFonts w:hint="eastAsia" w:ascii="宋体" w:hAnsi="宋体" w:cs="宋体"/>
                <w:szCs w:val="21"/>
                <w:lang w:val="en-US" w:eastAsia="zh-CN"/>
              </w:rPr>
            </w:pPr>
          </w:p>
          <w:p w14:paraId="7C32EC2D">
            <w:pPr>
              <w:contextualSpacing/>
              <w:jc w:val="center"/>
              <w:rPr>
                <w:rFonts w:hint="eastAsia" w:ascii="宋体" w:hAnsi="宋体" w:cs="宋体"/>
                <w:szCs w:val="21"/>
                <w:lang w:val="en-US" w:eastAsia="zh-CN"/>
              </w:rPr>
            </w:pPr>
          </w:p>
          <w:p w14:paraId="5706C6D4">
            <w:pPr>
              <w:contextualSpacing/>
              <w:jc w:val="center"/>
              <w:rPr>
                <w:rFonts w:hint="default" w:ascii="宋体" w:hAnsi="宋体" w:eastAsia="宋体" w:cs="宋体"/>
                <w:color w:val="000000"/>
                <w:kern w:val="0"/>
                <w:sz w:val="22"/>
                <w:szCs w:val="24"/>
                <w:lang w:val="en-US" w:eastAsia="zh-CN" w:bidi="ar-SA"/>
              </w:rPr>
            </w:pPr>
            <w:r>
              <w:rPr>
                <w:rFonts w:hint="eastAsia" w:ascii="宋体" w:hAnsi="宋体" w:cs="宋体"/>
                <w:szCs w:val="21"/>
                <w:lang w:val="en-US" w:eastAsia="zh-CN"/>
              </w:rPr>
              <w:t>JB/T 10491—2022</w:t>
            </w:r>
          </w:p>
        </w:tc>
        <w:tc>
          <w:tcPr>
            <w:tcW w:w="3092" w:type="dxa"/>
            <w:noWrap w:val="0"/>
            <w:tcMar>
              <w:top w:w="15" w:type="dxa"/>
              <w:left w:w="15" w:type="dxa"/>
              <w:bottom w:w="0" w:type="dxa"/>
              <w:right w:w="15" w:type="dxa"/>
            </w:tcMar>
            <w:vAlign w:val="center"/>
          </w:tcPr>
          <w:p w14:paraId="1A9FDCBE">
            <w:pPr>
              <w:jc w:val="center"/>
              <w:rPr>
                <w:rFonts w:hint="eastAsia" w:ascii="宋体" w:hAnsi="宋体" w:cs="宋体"/>
                <w:szCs w:val="21"/>
              </w:rPr>
            </w:pPr>
            <w:r>
              <w:rPr>
                <w:rFonts w:hint="eastAsia" w:ascii="宋体" w:hAnsi="宋体" w:cs="宋体"/>
                <w:szCs w:val="21"/>
                <w:lang w:val="en-US" w:eastAsia="zh-CN"/>
              </w:rPr>
              <w:t>GB/T 5023.2—2008</w:t>
            </w:r>
          </w:p>
          <w:p w14:paraId="5B194523">
            <w:pPr>
              <w:jc w:val="center"/>
              <w:rPr>
                <w:rFonts w:hint="eastAsia" w:ascii="宋体" w:hAnsi="宋体" w:eastAsia="宋体" w:cs="宋体"/>
                <w:color w:val="000000"/>
                <w:kern w:val="0"/>
                <w:sz w:val="22"/>
                <w:lang w:eastAsia="zh-CN"/>
              </w:rPr>
            </w:pPr>
          </w:p>
        </w:tc>
      </w:tr>
      <w:tr w14:paraId="6AA47D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10" w:hRule="atLeast"/>
        </w:trPr>
        <w:tc>
          <w:tcPr>
            <w:tcW w:w="430" w:type="pct"/>
            <w:noWrap w:val="0"/>
            <w:tcMar>
              <w:top w:w="15" w:type="dxa"/>
              <w:left w:w="15" w:type="dxa"/>
              <w:bottom w:w="0" w:type="dxa"/>
              <w:right w:w="15" w:type="dxa"/>
            </w:tcMar>
            <w:vAlign w:val="center"/>
          </w:tcPr>
          <w:p w14:paraId="05C30169">
            <w:pPr>
              <w:contextualSpacing/>
              <w:jc w:val="center"/>
              <w:rPr>
                <w:rFonts w:ascii="宋体" w:hAnsi="宋体" w:cs="宋体"/>
                <w:color w:val="000000"/>
                <w:kern w:val="0"/>
                <w:sz w:val="22"/>
              </w:rPr>
            </w:pPr>
            <w:r>
              <w:rPr>
                <w:rFonts w:hint="eastAsia" w:ascii="宋体" w:hAnsi="宋体" w:cs="宋体"/>
                <w:color w:val="000000"/>
                <w:kern w:val="0"/>
                <w:sz w:val="22"/>
              </w:rPr>
              <w:t>2</w:t>
            </w:r>
          </w:p>
        </w:tc>
        <w:tc>
          <w:tcPr>
            <w:tcW w:w="1276" w:type="pct"/>
            <w:noWrap w:val="0"/>
            <w:tcMar>
              <w:top w:w="15" w:type="dxa"/>
              <w:left w:w="15" w:type="dxa"/>
              <w:bottom w:w="0" w:type="dxa"/>
              <w:right w:w="15" w:type="dxa"/>
            </w:tcMar>
            <w:vAlign w:val="center"/>
          </w:tcPr>
          <w:p w14:paraId="35C09981">
            <w:pPr>
              <w:jc w:val="center"/>
              <w:rPr>
                <w:rFonts w:hint="eastAsia" w:ascii="宋体" w:hAnsi="宋体" w:eastAsia="宋体" w:cs="宋体"/>
                <w:color w:val="000000"/>
                <w:kern w:val="0"/>
                <w:sz w:val="22"/>
                <w:lang w:val="en-US" w:eastAsia="zh-CN"/>
              </w:rPr>
            </w:pPr>
            <w:r>
              <w:rPr>
                <w:rFonts w:hint="eastAsia" w:ascii="宋体" w:hAnsi="宋体" w:cs="宋体"/>
                <w:szCs w:val="21"/>
              </w:rPr>
              <w:t>绝缘厚度</w:t>
            </w:r>
          </w:p>
        </w:tc>
        <w:tc>
          <w:tcPr>
            <w:tcW w:w="1565" w:type="pct"/>
            <w:vMerge w:val="continue"/>
            <w:noWrap w:val="0"/>
            <w:tcMar>
              <w:top w:w="15" w:type="dxa"/>
              <w:left w:w="15" w:type="dxa"/>
              <w:bottom w:w="0" w:type="dxa"/>
              <w:right w:w="15" w:type="dxa"/>
            </w:tcMar>
            <w:vAlign w:val="center"/>
          </w:tcPr>
          <w:p w14:paraId="53F2AB9A">
            <w:pPr>
              <w:contextualSpacing/>
              <w:jc w:val="center"/>
              <w:rPr>
                <w:rFonts w:ascii="宋体" w:hAnsi="宋体" w:cs="宋体"/>
                <w:color w:val="000000"/>
                <w:kern w:val="0"/>
                <w:sz w:val="22"/>
              </w:rPr>
            </w:pPr>
          </w:p>
        </w:tc>
        <w:tc>
          <w:tcPr>
            <w:tcW w:w="3092" w:type="dxa"/>
            <w:noWrap w:val="0"/>
            <w:tcMar>
              <w:top w:w="15" w:type="dxa"/>
              <w:left w:w="15" w:type="dxa"/>
              <w:bottom w:w="0" w:type="dxa"/>
              <w:right w:w="15" w:type="dxa"/>
            </w:tcMar>
            <w:vAlign w:val="center"/>
          </w:tcPr>
          <w:p w14:paraId="60B21480">
            <w:pPr>
              <w:jc w:val="center"/>
              <w:rPr>
                <w:rFonts w:hint="eastAsia" w:ascii="宋体" w:hAnsi="宋体" w:eastAsia="宋体" w:cs="宋体"/>
                <w:color w:val="000000"/>
                <w:kern w:val="0"/>
                <w:sz w:val="22"/>
                <w:lang w:eastAsia="zh-CN"/>
              </w:rPr>
            </w:pPr>
            <w:r>
              <w:rPr>
                <w:rFonts w:hint="eastAsia" w:ascii="宋体" w:hAnsi="宋体" w:cs="宋体"/>
                <w:szCs w:val="21"/>
                <w:lang w:val="en-US" w:eastAsia="zh-CN"/>
              </w:rPr>
              <w:t>GB/T 5023.2—2008</w:t>
            </w:r>
          </w:p>
        </w:tc>
      </w:tr>
      <w:tr w14:paraId="41C9B0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10" w:hRule="atLeast"/>
        </w:trPr>
        <w:tc>
          <w:tcPr>
            <w:tcW w:w="430" w:type="pct"/>
            <w:noWrap w:val="0"/>
            <w:tcMar>
              <w:top w:w="15" w:type="dxa"/>
              <w:left w:w="15" w:type="dxa"/>
              <w:bottom w:w="0" w:type="dxa"/>
              <w:right w:w="15" w:type="dxa"/>
            </w:tcMar>
            <w:vAlign w:val="center"/>
          </w:tcPr>
          <w:p w14:paraId="06A750B6">
            <w:pPr>
              <w:contextualSpacing/>
              <w:jc w:val="center"/>
              <w:rPr>
                <w:rFonts w:ascii="宋体" w:hAnsi="宋体" w:cs="宋体"/>
                <w:color w:val="000000"/>
                <w:kern w:val="0"/>
                <w:sz w:val="22"/>
              </w:rPr>
            </w:pPr>
            <w:r>
              <w:rPr>
                <w:rFonts w:hint="eastAsia" w:ascii="宋体" w:hAnsi="宋体" w:cs="宋体"/>
                <w:color w:val="000000"/>
                <w:kern w:val="0"/>
                <w:sz w:val="22"/>
              </w:rPr>
              <w:t>3</w:t>
            </w:r>
          </w:p>
        </w:tc>
        <w:tc>
          <w:tcPr>
            <w:tcW w:w="1276" w:type="pct"/>
            <w:noWrap w:val="0"/>
            <w:tcMar>
              <w:top w:w="15" w:type="dxa"/>
              <w:left w:w="15" w:type="dxa"/>
              <w:bottom w:w="0" w:type="dxa"/>
              <w:right w:w="15" w:type="dxa"/>
            </w:tcMar>
            <w:vAlign w:val="center"/>
          </w:tcPr>
          <w:p w14:paraId="04F2072D">
            <w:pPr>
              <w:jc w:val="center"/>
              <w:rPr>
                <w:rFonts w:hint="eastAsia" w:ascii="宋体" w:hAnsi="宋体" w:eastAsia="宋体" w:cs="宋体"/>
                <w:color w:val="000000"/>
                <w:kern w:val="0"/>
                <w:sz w:val="22"/>
                <w:lang w:val="en-US" w:eastAsia="zh-CN"/>
              </w:rPr>
            </w:pPr>
            <w:r>
              <w:rPr>
                <w:rFonts w:hint="eastAsia" w:ascii="宋体" w:hAnsi="宋体" w:cs="宋体"/>
                <w:szCs w:val="21"/>
              </w:rPr>
              <w:t>护套厚度</w:t>
            </w:r>
          </w:p>
        </w:tc>
        <w:tc>
          <w:tcPr>
            <w:tcW w:w="1565" w:type="pct"/>
            <w:vMerge w:val="continue"/>
            <w:noWrap w:val="0"/>
            <w:tcMar>
              <w:top w:w="15" w:type="dxa"/>
              <w:left w:w="15" w:type="dxa"/>
              <w:bottom w:w="0" w:type="dxa"/>
              <w:right w:w="15" w:type="dxa"/>
            </w:tcMar>
            <w:vAlign w:val="center"/>
          </w:tcPr>
          <w:p w14:paraId="005B3A87">
            <w:pPr>
              <w:contextualSpacing/>
              <w:jc w:val="center"/>
              <w:rPr>
                <w:rFonts w:ascii="宋体" w:hAnsi="宋体" w:cs="宋体"/>
                <w:color w:val="000000"/>
                <w:kern w:val="0"/>
                <w:sz w:val="22"/>
              </w:rPr>
            </w:pPr>
          </w:p>
        </w:tc>
        <w:tc>
          <w:tcPr>
            <w:tcW w:w="3092" w:type="dxa"/>
            <w:noWrap w:val="0"/>
            <w:tcMar>
              <w:top w:w="15" w:type="dxa"/>
              <w:left w:w="15" w:type="dxa"/>
              <w:bottom w:w="0" w:type="dxa"/>
              <w:right w:w="15" w:type="dxa"/>
            </w:tcMar>
            <w:vAlign w:val="center"/>
          </w:tcPr>
          <w:p w14:paraId="43DCF264">
            <w:pPr>
              <w:jc w:val="center"/>
              <w:rPr>
                <w:rFonts w:hint="eastAsia" w:ascii="宋体" w:hAnsi="宋体" w:eastAsia="宋体" w:cs="宋体"/>
                <w:color w:val="000000"/>
                <w:kern w:val="0"/>
                <w:sz w:val="22"/>
                <w:lang w:eastAsia="zh-CN"/>
              </w:rPr>
            </w:pPr>
            <w:r>
              <w:rPr>
                <w:rFonts w:hint="eastAsia" w:ascii="宋体" w:hAnsi="宋体" w:cs="宋体"/>
                <w:szCs w:val="21"/>
                <w:lang w:val="en-US" w:eastAsia="zh-CN"/>
              </w:rPr>
              <w:t>GB/T 5023.2—2008</w:t>
            </w:r>
          </w:p>
        </w:tc>
      </w:tr>
      <w:tr w14:paraId="520C78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10" w:hRule="atLeast"/>
        </w:trPr>
        <w:tc>
          <w:tcPr>
            <w:tcW w:w="430" w:type="pct"/>
            <w:noWrap w:val="0"/>
            <w:tcMar>
              <w:top w:w="15" w:type="dxa"/>
              <w:left w:w="15" w:type="dxa"/>
              <w:bottom w:w="0" w:type="dxa"/>
              <w:right w:w="15" w:type="dxa"/>
            </w:tcMar>
            <w:vAlign w:val="center"/>
          </w:tcPr>
          <w:p w14:paraId="40D4C9A1">
            <w:pPr>
              <w:contextualSpacing/>
              <w:jc w:val="center"/>
              <w:rPr>
                <w:rFonts w:ascii="宋体" w:hAnsi="宋体" w:cs="宋体"/>
                <w:color w:val="000000"/>
                <w:kern w:val="0"/>
                <w:sz w:val="22"/>
              </w:rPr>
            </w:pPr>
            <w:r>
              <w:rPr>
                <w:rFonts w:hint="eastAsia" w:ascii="宋体" w:hAnsi="宋体" w:cs="宋体"/>
                <w:color w:val="000000"/>
                <w:kern w:val="0"/>
                <w:sz w:val="22"/>
              </w:rPr>
              <w:t>4</w:t>
            </w:r>
          </w:p>
        </w:tc>
        <w:tc>
          <w:tcPr>
            <w:tcW w:w="1276" w:type="pct"/>
            <w:noWrap w:val="0"/>
            <w:tcMar>
              <w:top w:w="15" w:type="dxa"/>
              <w:left w:w="15" w:type="dxa"/>
              <w:bottom w:w="0" w:type="dxa"/>
              <w:right w:w="15" w:type="dxa"/>
            </w:tcMar>
            <w:vAlign w:val="center"/>
          </w:tcPr>
          <w:p w14:paraId="6892C7AF">
            <w:pPr>
              <w:jc w:val="center"/>
              <w:rPr>
                <w:rFonts w:hint="eastAsia" w:ascii="宋体" w:hAnsi="宋体" w:eastAsia="宋体" w:cs="宋体"/>
                <w:color w:val="000000"/>
                <w:kern w:val="0"/>
                <w:sz w:val="22"/>
                <w:lang w:val="en-US" w:eastAsia="zh-CN"/>
              </w:rPr>
            </w:pPr>
            <w:r>
              <w:rPr>
                <w:rFonts w:hint="eastAsia" w:ascii="宋体" w:hAnsi="宋体" w:cs="宋体"/>
                <w:szCs w:val="21"/>
              </w:rPr>
              <w:t>绝缘老化前</w:t>
            </w:r>
            <w:r>
              <w:rPr>
                <w:rFonts w:hint="eastAsia" w:ascii="宋体" w:hAnsi="宋体" w:cs="宋体"/>
                <w:szCs w:val="21"/>
                <w:lang w:val="en-US" w:eastAsia="zh-CN"/>
              </w:rPr>
              <w:t>拉力试验</w:t>
            </w:r>
          </w:p>
        </w:tc>
        <w:tc>
          <w:tcPr>
            <w:tcW w:w="1565" w:type="pct"/>
            <w:vMerge w:val="continue"/>
            <w:noWrap w:val="0"/>
            <w:tcMar>
              <w:top w:w="15" w:type="dxa"/>
              <w:left w:w="15" w:type="dxa"/>
              <w:bottom w:w="0" w:type="dxa"/>
              <w:right w:w="15" w:type="dxa"/>
            </w:tcMar>
            <w:vAlign w:val="center"/>
          </w:tcPr>
          <w:p w14:paraId="559F140D">
            <w:pPr>
              <w:contextualSpacing/>
              <w:jc w:val="center"/>
              <w:rPr>
                <w:rFonts w:ascii="宋体" w:hAnsi="宋体" w:cs="宋体"/>
                <w:color w:val="000000"/>
                <w:kern w:val="0"/>
                <w:sz w:val="22"/>
              </w:rPr>
            </w:pPr>
          </w:p>
        </w:tc>
        <w:tc>
          <w:tcPr>
            <w:tcW w:w="3092" w:type="dxa"/>
            <w:noWrap w:val="0"/>
            <w:tcMar>
              <w:top w:w="15" w:type="dxa"/>
              <w:left w:w="15" w:type="dxa"/>
              <w:bottom w:w="0" w:type="dxa"/>
              <w:right w:w="15" w:type="dxa"/>
            </w:tcMar>
            <w:vAlign w:val="center"/>
          </w:tcPr>
          <w:p w14:paraId="57EB3895">
            <w:pPr>
              <w:jc w:val="center"/>
              <w:rPr>
                <w:rFonts w:hint="eastAsia" w:ascii="宋体" w:hAnsi="宋体" w:eastAsia="宋体" w:cs="宋体"/>
                <w:color w:val="000000"/>
                <w:kern w:val="0"/>
                <w:sz w:val="22"/>
                <w:lang w:eastAsia="zh-CN"/>
              </w:rPr>
            </w:pPr>
            <w:r>
              <w:rPr>
                <w:rFonts w:hint="eastAsia" w:ascii="宋体" w:hAnsi="宋体" w:cs="宋体"/>
                <w:szCs w:val="21"/>
              </w:rPr>
              <w:t>GB/T 2951.11</w:t>
            </w:r>
          </w:p>
        </w:tc>
      </w:tr>
      <w:tr w14:paraId="24436E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53" w:hRule="atLeast"/>
        </w:trPr>
        <w:tc>
          <w:tcPr>
            <w:tcW w:w="430" w:type="pct"/>
            <w:noWrap w:val="0"/>
            <w:tcMar>
              <w:top w:w="15" w:type="dxa"/>
              <w:left w:w="15" w:type="dxa"/>
              <w:bottom w:w="0" w:type="dxa"/>
              <w:right w:w="15" w:type="dxa"/>
            </w:tcMar>
            <w:vAlign w:val="center"/>
          </w:tcPr>
          <w:p w14:paraId="550E63CD">
            <w:pPr>
              <w:contextualSpacing/>
              <w:jc w:val="center"/>
              <w:rPr>
                <w:rFonts w:ascii="宋体" w:hAnsi="宋体" w:cs="宋体"/>
                <w:color w:val="000000"/>
                <w:kern w:val="0"/>
                <w:sz w:val="22"/>
              </w:rPr>
            </w:pPr>
            <w:r>
              <w:rPr>
                <w:rFonts w:hint="eastAsia" w:ascii="宋体" w:hAnsi="宋体" w:cs="宋体"/>
                <w:color w:val="000000"/>
                <w:kern w:val="0"/>
                <w:sz w:val="22"/>
              </w:rPr>
              <w:t>5</w:t>
            </w:r>
          </w:p>
        </w:tc>
        <w:tc>
          <w:tcPr>
            <w:tcW w:w="1276" w:type="pct"/>
            <w:noWrap w:val="0"/>
            <w:tcMar>
              <w:top w:w="15" w:type="dxa"/>
              <w:left w:w="15" w:type="dxa"/>
              <w:bottom w:w="0" w:type="dxa"/>
              <w:right w:w="15" w:type="dxa"/>
            </w:tcMar>
            <w:vAlign w:val="center"/>
          </w:tcPr>
          <w:p w14:paraId="640EB27E">
            <w:pPr>
              <w:jc w:val="center"/>
              <w:rPr>
                <w:rFonts w:hint="eastAsia" w:ascii="宋体" w:hAnsi="宋体" w:eastAsia="宋体" w:cs="宋体"/>
                <w:color w:val="000000"/>
                <w:kern w:val="0"/>
                <w:sz w:val="22"/>
                <w:lang w:val="en-US" w:eastAsia="zh-CN"/>
              </w:rPr>
            </w:pPr>
            <w:r>
              <w:rPr>
                <w:rFonts w:hint="eastAsia" w:ascii="宋体" w:hAnsi="宋体" w:cs="宋体"/>
                <w:szCs w:val="21"/>
              </w:rPr>
              <w:t>绝缘</w:t>
            </w:r>
            <w:r>
              <w:rPr>
                <w:rFonts w:hint="eastAsia" w:ascii="宋体" w:hAnsi="宋体" w:cs="宋体"/>
                <w:szCs w:val="21"/>
                <w:lang w:val="en-US" w:eastAsia="zh-CN"/>
              </w:rPr>
              <w:t>老化后拉力试验</w:t>
            </w:r>
          </w:p>
        </w:tc>
        <w:tc>
          <w:tcPr>
            <w:tcW w:w="1565" w:type="pct"/>
            <w:vMerge w:val="continue"/>
            <w:noWrap w:val="0"/>
            <w:tcMar>
              <w:top w:w="15" w:type="dxa"/>
              <w:left w:w="15" w:type="dxa"/>
              <w:bottom w:w="0" w:type="dxa"/>
              <w:right w:w="15" w:type="dxa"/>
            </w:tcMar>
            <w:vAlign w:val="center"/>
          </w:tcPr>
          <w:p w14:paraId="4D00E3D9">
            <w:pPr>
              <w:contextualSpacing/>
              <w:jc w:val="center"/>
              <w:rPr>
                <w:rFonts w:ascii="宋体" w:hAnsi="宋体" w:cs="宋体"/>
                <w:color w:val="000000"/>
                <w:kern w:val="0"/>
                <w:sz w:val="22"/>
              </w:rPr>
            </w:pPr>
          </w:p>
        </w:tc>
        <w:tc>
          <w:tcPr>
            <w:tcW w:w="3092" w:type="dxa"/>
            <w:noWrap w:val="0"/>
            <w:tcMar>
              <w:top w:w="15" w:type="dxa"/>
              <w:left w:w="15" w:type="dxa"/>
              <w:bottom w:w="0" w:type="dxa"/>
              <w:right w:w="15" w:type="dxa"/>
            </w:tcMar>
            <w:vAlign w:val="center"/>
          </w:tcPr>
          <w:p w14:paraId="7C3FD71A">
            <w:pPr>
              <w:jc w:val="center"/>
              <w:rPr>
                <w:rFonts w:hint="eastAsia" w:ascii="宋体" w:hAnsi="宋体" w:eastAsia="宋体" w:cs="宋体"/>
                <w:color w:val="000000"/>
                <w:kern w:val="0"/>
                <w:sz w:val="22"/>
                <w:lang w:eastAsia="zh-CN"/>
              </w:rPr>
            </w:pPr>
            <w:r>
              <w:rPr>
                <w:rFonts w:hint="eastAsia" w:ascii="宋体" w:hAnsi="宋体" w:cs="宋体"/>
                <w:szCs w:val="21"/>
              </w:rPr>
              <w:t>GB/T 2951.11</w:t>
            </w:r>
            <w:r>
              <w:rPr>
                <w:rFonts w:hint="eastAsia" w:ascii="宋体" w:hAnsi="宋体" w:cs="宋体"/>
                <w:szCs w:val="21"/>
                <w:lang w:eastAsia="zh-CN"/>
              </w:rPr>
              <w:t>、</w:t>
            </w:r>
            <w:r>
              <w:rPr>
                <w:rFonts w:hint="eastAsia" w:ascii="宋体" w:hAnsi="宋体" w:cs="宋体"/>
                <w:szCs w:val="21"/>
              </w:rPr>
              <w:t>GB/T 2951.1</w:t>
            </w:r>
            <w:r>
              <w:rPr>
                <w:rFonts w:hint="eastAsia" w:ascii="宋体" w:hAnsi="宋体" w:cs="宋体"/>
                <w:szCs w:val="21"/>
                <w:lang w:val="en-US" w:eastAsia="zh-CN"/>
              </w:rPr>
              <w:t>2</w:t>
            </w:r>
          </w:p>
        </w:tc>
      </w:tr>
      <w:tr w14:paraId="027475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52" w:hRule="atLeast"/>
        </w:trPr>
        <w:tc>
          <w:tcPr>
            <w:tcW w:w="430" w:type="pct"/>
            <w:noWrap w:val="0"/>
            <w:tcMar>
              <w:top w:w="15" w:type="dxa"/>
              <w:left w:w="15" w:type="dxa"/>
              <w:bottom w:w="0" w:type="dxa"/>
              <w:right w:w="15" w:type="dxa"/>
            </w:tcMar>
            <w:vAlign w:val="center"/>
          </w:tcPr>
          <w:p w14:paraId="6D6086D9">
            <w:pPr>
              <w:contextualSpacing/>
              <w:jc w:val="center"/>
              <w:rPr>
                <w:rFonts w:ascii="宋体" w:hAnsi="宋体" w:cs="宋体"/>
                <w:color w:val="000000"/>
                <w:kern w:val="0"/>
                <w:sz w:val="22"/>
              </w:rPr>
            </w:pPr>
            <w:r>
              <w:rPr>
                <w:rFonts w:hint="eastAsia" w:ascii="宋体" w:hAnsi="宋体" w:cs="宋体"/>
                <w:color w:val="000000"/>
                <w:kern w:val="0"/>
                <w:sz w:val="22"/>
              </w:rPr>
              <w:t>6</w:t>
            </w:r>
          </w:p>
        </w:tc>
        <w:tc>
          <w:tcPr>
            <w:tcW w:w="1276" w:type="pct"/>
            <w:noWrap w:val="0"/>
            <w:tcMar>
              <w:top w:w="15" w:type="dxa"/>
              <w:left w:w="15" w:type="dxa"/>
              <w:bottom w:w="0" w:type="dxa"/>
              <w:right w:w="15" w:type="dxa"/>
            </w:tcMar>
            <w:vAlign w:val="center"/>
          </w:tcPr>
          <w:p w14:paraId="3061A373">
            <w:pPr>
              <w:jc w:val="center"/>
              <w:rPr>
                <w:rFonts w:hint="eastAsia" w:ascii="宋体" w:hAnsi="宋体" w:eastAsia="宋体" w:cs="宋体"/>
                <w:color w:val="000000"/>
                <w:kern w:val="0"/>
                <w:sz w:val="22"/>
                <w:lang w:val="en-US" w:eastAsia="zh-CN"/>
              </w:rPr>
            </w:pPr>
            <w:r>
              <w:rPr>
                <w:rFonts w:hint="eastAsia" w:ascii="宋体" w:hAnsi="宋体" w:cs="宋体"/>
                <w:szCs w:val="21"/>
              </w:rPr>
              <w:t>绝缘热延伸试验</w:t>
            </w:r>
          </w:p>
        </w:tc>
        <w:tc>
          <w:tcPr>
            <w:tcW w:w="1565" w:type="pct"/>
            <w:vMerge w:val="continue"/>
            <w:noWrap w:val="0"/>
            <w:tcMar>
              <w:top w:w="15" w:type="dxa"/>
              <w:left w:w="15" w:type="dxa"/>
              <w:bottom w:w="0" w:type="dxa"/>
              <w:right w:w="15" w:type="dxa"/>
            </w:tcMar>
            <w:vAlign w:val="center"/>
          </w:tcPr>
          <w:p w14:paraId="3367946B">
            <w:pPr>
              <w:contextualSpacing/>
              <w:jc w:val="center"/>
              <w:rPr>
                <w:rFonts w:ascii="宋体" w:hAnsi="宋体" w:cs="宋体"/>
                <w:color w:val="000000"/>
                <w:kern w:val="0"/>
                <w:sz w:val="22"/>
              </w:rPr>
            </w:pPr>
          </w:p>
        </w:tc>
        <w:tc>
          <w:tcPr>
            <w:tcW w:w="3092" w:type="dxa"/>
            <w:noWrap w:val="0"/>
            <w:tcMar>
              <w:top w:w="15" w:type="dxa"/>
              <w:left w:w="15" w:type="dxa"/>
              <w:bottom w:w="0" w:type="dxa"/>
              <w:right w:w="15" w:type="dxa"/>
            </w:tcMar>
            <w:vAlign w:val="center"/>
          </w:tcPr>
          <w:p w14:paraId="1B01F55E">
            <w:pPr>
              <w:jc w:val="center"/>
              <w:rPr>
                <w:rFonts w:hint="eastAsia" w:ascii="宋体" w:hAnsi="宋体" w:eastAsia="宋体" w:cs="宋体"/>
                <w:color w:val="000000"/>
                <w:kern w:val="0"/>
                <w:sz w:val="22"/>
                <w:lang w:eastAsia="zh-CN"/>
              </w:rPr>
            </w:pPr>
            <w:r>
              <w:rPr>
                <w:rFonts w:hint="eastAsia" w:ascii="宋体" w:hAnsi="宋体" w:cs="宋体"/>
                <w:szCs w:val="21"/>
              </w:rPr>
              <w:t>GB/T2951.21</w:t>
            </w:r>
          </w:p>
        </w:tc>
      </w:tr>
      <w:tr w14:paraId="6EC92F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10" w:hRule="atLeast"/>
        </w:trPr>
        <w:tc>
          <w:tcPr>
            <w:tcW w:w="430" w:type="pct"/>
            <w:noWrap w:val="0"/>
            <w:tcMar>
              <w:top w:w="15" w:type="dxa"/>
              <w:left w:w="15" w:type="dxa"/>
              <w:bottom w:w="0" w:type="dxa"/>
              <w:right w:w="15" w:type="dxa"/>
            </w:tcMar>
            <w:vAlign w:val="center"/>
          </w:tcPr>
          <w:p w14:paraId="1E6D70E1">
            <w:pPr>
              <w:contextualSpacing/>
              <w:jc w:val="center"/>
              <w:rPr>
                <w:rFonts w:ascii="宋体" w:hAnsi="宋体" w:cs="宋体"/>
                <w:color w:val="000000"/>
                <w:kern w:val="0"/>
                <w:sz w:val="22"/>
              </w:rPr>
            </w:pPr>
            <w:r>
              <w:rPr>
                <w:rFonts w:hint="eastAsia" w:ascii="宋体" w:hAnsi="宋体" w:cs="宋体"/>
                <w:color w:val="000000"/>
                <w:kern w:val="0"/>
                <w:sz w:val="22"/>
              </w:rPr>
              <w:t>7</w:t>
            </w:r>
          </w:p>
        </w:tc>
        <w:tc>
          <w:tcPr>
            <w:tcW w:w="1276" w:type="pct"/>
            <w:noWrap w:val="0"/>
            <w:tcMar>
              <w:top w:w="15" w:type="dxa"/>
              <w:left w:w="15" w:type="dxa"/>
              <w:bottom w:w="0" w:type="dxa"/>
              <w:right w:w="15" w:type="dxa"/>
            </w:tcMar>
            <w:vAlign w:val="center"/>
          </w:tcPr>
          <w:p w14:paraId="02F990E1">
            <w:pPr>
              <w:jc w:val="center"/>
              <w:rPr>
                <w:rFonts w:hint="eastAsia" w:ascii="宋体" w:hAnsi="宋体" w:eastAsia="宋体" w:cs="宋体"/>
                <w:color w:val="000000"/>
                <w:kern w:val="0"/>
                <w:sz w:val="22"/>
                <w:lang w:val="en-US" w:eastAsia="zh-CN"/>
              </w:rPr>
            </w:pPr>
            <w:r>
              <w:rPr>
                <w:rFonts w:hint="eastAsia" w:ascii="宋体" w:hAnsi="宋体" w:cs="宋体"/>
                <w:szCs w:val="21"/>
                <w:lang w:val="en-US" w:eastAsia="zh-CN"/>
              </w:rPr>
              <w:t>绝缘热收缩试验</w:t>
            </w:r>
          </w:p>
        </w:tc>
        <w:tc>
          <w:tcPr>
            <w:tcW w:w="1565" w:type="pct"/>
            <w:vMerge w:val="continue"/>
            <w:noWrap w:val="0"/>
            <w:tcMar>
              <w:top w:w="15" w:type="dxa"/>
              <w:left w:w="15" w:type="dxa"/>
              <w:bottom w:w="0" w:type="dxa"/>
              <w:right w:w="15" w:type="dxa"/>
            </w:tcMar>
            <w:vAlign w:val="center"/>
          </w:tcPr>
          <w:p w14:paraId="24A479F1">
            <w:pPr>
              <w:contextualSpacing/>
              <w:jc w:val="center"/>
              <w:rPr>
                <w:rFonts w:ascii="宋体" w:hAnsi="宋体" w:cs="宋体"/>
                <w:color w:val="000000"/>
                <w:kern w:val="0"/>
                <w:sz w:val="22"/>
              </w:rPr>
            </w:pPr>
          </w:p>
        </w:tc>
        <w:tc>
          <w:tcPr>
            <w:tcW w:w="3092" w:type="dxa"/>
            <w:noWrap w:val="0"/>
            <w:tcMar>
              <w:top w:w="15" w:type="dxa"/>
              <w:left w:w="15" w:type="dxa"/>
              <w:bottom w:w="0" w:type="dxa"/>
              <w:right w:w="15" w:type="dxa"/>
            </w:tcMar>
            <w:vAlign w:val="center"/>
          </w:tcPr>
          <w:p w14:paraId="030C9130">
            <w:pPr>
              <w:jc w:val="center"/>
              <w:rPr>
                <w:rFonts w:hint="eastAsia" w:ascii="宋体" w:hAnsi="宋体" w:eastAsia="宋体" w:cs="宋体"/>
                <w:color w:val="000000"/>
                <w:kern w:val="0"/>
                <w:sz w:val="22"/>
                <w:lang w:eastAsia="zh-CN"/>
              </w:rPr>
            </w:pPr>
            <w:r>
              <w:rPr>
                <w:rFonts w:hint="eastAsia" w:ascii="宋体" w:hAnsi="宋体" w:cs="宋体"/>
                <w:szCs w:val="21"/>
              </w:rPr>
              <w:t>GB/T2951.</w:t>
            </w:r>
            <w:r>
              <w:rPr>
                <w:rFonts w:hint="eastAsia" w:ascii="宋体" w:hAnsi="宋体" w:cs="宋体"/>
                <w:szCs w:val="21"/>
                <w:lang w:val="en-US" w:eastAsia="zh-CN"/>
              </w:rPr>
              <w:t>13</w:t>
            </w:r>
          </w:p>
        </w:tc>
      </w:tr>
      <w:tr w14:paraId="42E792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10" w:hRule="atLeast"/>
        </w:trPr>
        <w:tc>
          <w:tcPr>
            <w:tcW w:w="430" w:type="pct"/>
            <w:noWrap w:val="0"/>
            <w:tcMar>
              <w:top w:w="15" w:type="dxa"/>
              <w:left w:w="15" w:type="dxa"/>
              <w:bottom w:w="0" w:type="dxa"/>
              <w:right w:w="15" w:type="dxa"/>
            </w:tcMar>
            <w:vAlign w:val="center"/>
          </w:tcPr>
          <w:p w14:paraId="34C96B0B">
            <w:pPr>
              <w:contextualSpacing/>
              <w:jc w:val="center"/>
              <w:rPr>
                <w:rFonts w:ascii="宋体" w:hAnsi="宋体" w:cs="宋体"/>
                <w:color w:val="000000"/>
                <w:kern w:val="0"/>
                <w:sz w:val="22"/>
              </w:rPr>
            </w:pPr>
            <w:r>
              <w:rPr>
                <w:rFonts w:hint="eastAsia" w:ascii="宋体" w:hAnsi="宋体" w:cs="宋体"/>
                <w:color w:val="000000"/>
                <w:kern w:val="0"/>
                <w:sz w:val="22"/>
              </w:rPr>
              <w:t>8</w:t>
            </w:r>
          </w:p>
        </w:tc>
        <w:tc>
          <w:tcPr>
            <w:tcW w:w="1276" w:type="pct"/>
            <w:noWrap w:val="0"/>
            <w:tcMar>
              <w:top w:w="15" w:type="dxa"/>
              <w:left w:w="15" w:type="dxa"/>
              <w:bottom w:w="0" w:type="dxa"/>
              <w:right w:w="15" w:type="dxa"/>
            </w:tcMar>
            <w:vAlign w:val="center"/>
          </w:tcPr>
          <w:p w14:paraId="61880A32">
            <w:pPr>
              <w:jc w:val="center"/>
              <w:rPr>
                <w:rFonts w:hint="eastAsia" w:ascii="宋体" w:hAnsi="宋体" w:eastAsia="宋体" w:cs="宋体"/>
                <w:color w:val="000000"/>
                <w:kern w:val="0"/>
                <w:sz w:val="22"/>
                <w:lang w:val="en-US" w:eastAsia="zh-CN"/>
              </w:rPr>
            </w:pPr>
            <w:r>
              <w:rPr>
                <w:rFonts w:hint="eastAsia" w:ascii="宋体" w:hAnsi="宋体" w:cs="宋体"/>
                <w:szCs w:val="21"/>
                <w:lang w:val="en-US" w:eastAsia="zh-CN"/>
              </w:rPr>
              <w:t>护套</w:t>
            </w:r>
            <w:r>
              <w:rPr>
                <w:rFonts w:hint="eastAsia" w:ascii="宋体" w:hAnsi="宋体" w:cs="宋体"/>
                <w:szCs w:val="21"/>
              </w:rPr>
              <w:t>老化前</w:t>
            </w:r>
            <w:r>
              <w:rPr>
                <w:rFonts w:hint="eastAsia" w:ascii="宋体" w:hAnsi="宋体" w:cs="宋体"/>
                <w:szCs w:val="21"/>
                <w:lang w:val="en-US" w:eastAsia="zh-CN"/>
              </w:rPr>
              <w:t>拉力试验</w:t>
            </w:r>
          </w:p>
        </w:tc>
        <w:tc>
          <w:tcPr>
            <w:tcW w:w="1565" w:type="pct"/>
            <w:vMerge w:val="continue"/>
            <w:noWrap w:val="0"/>
            <w:tcMar>
              <w:top w:w="15" w:type="dxa"/>
              <w:left w:w="15" w:type="dxa"/>
              <w:bottom w:w="0" w:type="dxa"/>
              <w:right w:w="15" w:type="dxa"/>
            </w:tcMar>
            <w:vAlign w:val="center"/>
          </w:tcPr>
          <w:p w14:paraId="2F8364CE">
            <w:pPr>
              <w:contextualSpacing/>
              <w:jc w:val="center"/>
              <w:rPr>
                <w:rFonts w:ascii="宋体" w:hAnsi="宋体" w:cs="宋体"/>
                <w:color w:val="000000"/>
                <w:kern w:val="0"/>
                <w:sz w:val="22"/>
              </w:rPr>
            </w:pPr>
          </w:p>
        </w:tc>
        <w:tc>
          <w:tcPr>
            <w:tcW w:w="3092" w:type="dxa"/>
            <w:noWrap w:val="0"/>
            <w:tcMar>
              <w:top w:w="15" w:type="dxa"/>
              <w:left w:w="15" w:type="dxa"/>
              <w:bottom w:w="0" w:type="dxa"/>
              <w:right w:w="15" w:type="dxa"/>
            </w:tcMar>
            <w:vAlign w:val="center"/>
          </w:tcPr>
          <w:p w14:paraId="5ADB64F2">
            <w:pPr>
              <w:jc w:val="center"/>
              <w:rPr>
                <w:rFonts w:hint="eastAsia" w:ascii="宋体" w:hAnsi="宋体" w:eastAsia="宋体" w:cs="宋体"/>
                <w:color w:val="000000"/>
                <w:kern w:val="0"/>
                <w:sz w:val="22"/>
                <w:lang w:eastAsia="zh-CN"/>
              </w:rPr>
            </w:pPr>
            <w:r>
              <w:rPr>
                <w:rFonts w:hint="eastAsia" w:ascii="宋体" w:hAnsi="宋体" w:cs="宋体"/>
                <w:szCs w:val="21"/>
              </w:rPr>
              <w:t>GB/T 2951.11</w:t>
            </w:r>
          </w:p>
        </w:tc>
      </w:tr>
      <w:tr w14:paraId="10B9C0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10" w:hRule="atLeast"/>
        </w:trPr>
        <w:tc>
          <w:tcPr>
            <w:tcW w:w="430" w:type="pct"/>
            <w:noWrap w:val="0"/>
            <w:tcMar>
              <w:top w:w="15" w:type="dxa"/>
              <w:left w:w="15" w:type="dxa"/>
              <w:bottom w:w="0" w:type="dxa"/>
              <w:right w:w="15" w:type="dxa"/>
            </w:tcMar>
            <w:vAlign w:val="center"/>
          </w:tcPr>
          <w:p w14:paraId="4DD8F710">
            <w:pPr>
              <w:contextualSpacing/>
              <w:jc w:val="center"/>
              <w:rPr>
                <w:rFonts w:ascii="宋体" w:hAnsi="宋体" w:cs="宋体"/>
                <w:color w:val="000000"/>
                <w:kern w:val="0"/>
                <w:sz w:val="22"/>
              </w:rPr>
            </w:pPr>
            <w:r>
              <w:rPr>
                <w:rFonts w:hint="eastAsia" w:ascii="宋体" w:hAnsi="宋体" w:cs="宋体"/>
                <w:color w:val="000000"/>
                <w:kern w:val="0"/>
                <w:sz w:val="22"/>
              </w:rPr>
              <w:t>9</w:t>
            </w:r>
          </w:p>
        </w:tc>
        <w:tc>
          <w:tcPr>
            <w:tcW w:w="1276" w:type="pct"/>
            <w:noWrap w:val="0"/>
            <w:tcMar>
              <w:top w:w="15" w:type="dxa"/>
              <w:left w:w="15" w:type="dxa"/>
              <w:bottom w:w="0" w:type="dxa"/>
              <w:right w:w="15" w:type="dxa"/>
            </w:tcMar>
            <w:vAlign w:val="center"/>
          </w:tcPr>
          <w:p w14:paraId="6EEAEAB7">
            <w:pPr>
              <w:jc w:val="center"/>
              <w:rPr>
                <w:rFonts w:hint="eastAsia" w:ascii="宋体" w:hAnsi="宋体" w:eastAsia="宋体" w:cs="宋体"/>
                <w:color w:val="000000"/>
                <w:kern w:val="0"/>
                <w:sz w:val="22"/>
                <w:lang w:val="en-US" w:eastAsia="zh-CN"/>
              </w:rPr>
            </w:pPr>
            <w:r>
              <w:rPr>
                <w:rFonts w:hint="eastAsia" w:ascii="宋体" w:hAnsi="宋体" w:cs="宋体"/>
                <w:szCs w:val="21"/>
                <w:lang w:val="en-US" w:eastAsia="zh-CN"/>
              </w:rPr>
              <w:t>护套空气烘箱老化后拉力试验</w:t>
            </w:r>
          </w:p>
        </w:tc>
        <w:tc>
          <w:tcPr>
            <w:tcW w:w="1565" w:type="pct"/>
            <w:vMerge w:val="continue"/>
            <w:noWrap w:val="0"/>
            <w:tcMar>
              <w:top w:w="15" w:type="dxa"/>
              <w:left w:w="15" w:type="dxa"/>
              <w:bottom w:w="0" w:type="dxa"/>
              <w:right w:w="15" w:type="dxa"/>
            </w:tcMar>
            <w:vAlign w:val="center"/>
          </w:tcPr>
          <w:p w14:paraId="3671A5FE">
            <w:pPr>
              <w:contextualSpacing/>
              <w:jc w:val="center"/>
              <w:rPr>
                <w:rFonts w:ascii="宋体" w:hAnsi="宋体" w:cs="宋体"/>
                <w:color w:val="000000"/>
                <w:kern w:val="0"/>
                <w:sz w:val="22"/>
              </w:rPr>
            </w:pPr>
          </w:p>
        </w:tc>
        <w:tc>
          <w:tcPr>
            <w:tcW w:w="3092" w:type="dxa"/>
            <w:noWrap w:val="0"/>
            <w:tcMar>
              <w:top w:w="15" w:type="dxa"/>
              <w:left w:w="15" w:type="dxa"/>
              <w:bottom w:w="0" w:type="dxa"/>
              <w:right w:w="15" w:type="dxa"/>
            </w:tcMar>
            <w:vAlign w:val="center"/>
          </w:tcPr>
          <w:p w14:paraId="7BF83202">
            <w:pPr>
              <w:jc w:val="center"/>
              <w:rPr>
                <w:rFonts w:hint="eastAsia" w:ascii="宋体" w:hAnsi="宋体" w:eastAsia="宋体" w:cs="宋体"/>
                <w:color w:val="000000"/>
                <w:kern w:val="0"/>
                <w:sz w:val="22"/>
                <w:lang w:eastAsia="zh-CN"/>
              </w:rPr>
            </w:pPr>
            <w:r>
              <w:rPr>
                <w:rFonts w:hint="eastAsia" w:ascii="宋体" w:hAnsi="宋体" w:cs="宋体"/>
                <w:szCs w:val="21"/>
              </w:rPr>
              <w:t>GB/T 2951.11</w:t>
            </w:r>
            <w:r>
              <w:rPr>
                <w:rFonts w:hint="eastAsia" w:ascii="宋体" w:hAnsi="宋体" w:cs="宋体"/>
                <w:szCs w:val="21"/>
                <w:lang w:eastAsia="zh-CN"/>
              </w:rPr>
              <w:t>、</w:t>
            </w:r>
            <w:r>
              <w:rPr>
                <w:rFonts w:hint="eastAsia" w:ascii="宋体" w:hAnsi="宋体" w:cs="宋体"/>
                <w:szCs w:val="21"/>
              </w:rPr>
              <w:t>GB/T 2951.1</w:t>
            </w:r>
            <w:r>
              <w:rPr>
                <w:rFonts w:hint="eastAsia" w:ascii="宋体" w:hAnsi="宋体" w:cs="宋体"/>
                <w:szCs w:val="21"/>
                <w:lang w:val="en-US" w:eastAsia="zh-CN"/>
              </w:rPr>
              <w:t>2</w:t>
            </w:r>
          </w:p>
        </w:tc>
      </w:tr>
      <w:tr w14:paraId="3191F5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10" w:hRule="atLeast"/>
        </w:trPr>
        <w:tc>
          <w:tcPr>
            <w:tcW w:w="430" w:type="pct"/>
            <w:noWrap w:val="0"/>
            <w:tcMar>
              <w:top w:w="15" w:type="dxa"/>
              <w:left w:w="15" w:type="dxa"/>
              <w:bottom w:w="0" w:type="dxa"/>
              <w:right w:w="15" w:type="dxa"/>
            </w:tcMar>
            <w:vAlign w:val="center"/>
          </w:tcPr>
          <w:p w14:paraId="05292724">
            <w:pPr>
              <w:contextualSpacing/>
              <w:jc w:val="center"/>
              <w:rPr>
                <w:rFonts w:ascii="宋体" w:hAnsi="宋体" w:cs="宋体"/>
                <w:color w:val="000000"/>
                <w:kern w:val="0"/>
                <w:sz w:val="22"/>
              </w:rPr>
            </w:pPr>
            <w:r>
              <w:rPr>
                <w:rFonts w:hint="eastAsia" w:ascii="宋体" w:hAnsi="宋体" w:cs="宋体"/>
                <w:color w:val="000000"/>
                <w:kern w:val="0"/>
                <w:sz w:val="22"/>
              </w:rPr>
              <w:t>10</w:t>
            </w:r>
          </w:p>
        </w:tc>
        <w:tc>
          <w:tcPr>
            <w:tcW w:w="1276" w:type="pct"/>
            <w:noWrap w:val="0"/>
            <w:tcMar>
              <w:top w:w="15" w:type="dxa"/>
              <w:left w:w="15" w:type="dxa"/>
              <w:bottom w:w="0" w:type="dxa"/>
              <w:right w:w="15" w:type="dxa"/>
            </w:tcMar>
            <w:vAlign w:val="center"/>
          </w:tcPr>
          <w:p w14:paraId="741B2CB2">
            <w:pPr>
              <w:jc w:val="center"/>
              <w:rPr>
                <w:rFonts w:hint="eastAsia" w:ascii="宋体" w:hAnsi="宋体" w:eastAsia="宋体" w:cs="宋体"/>
                <w:color w:val="000000"/>
                <w:kern w:val="0"/>
                <w:sz w:val="22"/>
                <w:lang w:val="en-US" w:eastAsia="zh-CN"/>
              </w:rPr>
            </w:pPr>
            <w:r>
              <w:rPr>
                <w:rFonts w:hint="eastAsia" w:ascii="宋体" w:hAnsi="宋体" w:cs="宋体"/>
                <w:szCs w:val="21"/>
                <w:lang w:val="en-US" w:eastAsia="zh-CN"/>
              </w:rPr>
              <w:t>护套热延伸试验</w:t>
            </w:r>
          </w:p>
        </w:tc>
        <w:tc>
          <w:tcPr>
            <w:tcW w:w="1565" w:type="pct"/>
            <w:vMerge w:val="continue"/>
            <w:noWrap w:val="0"/>
            <w:tcMar>
              <w:top w:w="15" w:type="dxa"/>
              <w:left w:w="15" w:type="dxa"/>
              <w:bottom w:w="0" w:type="dxa"/>
              <w:right w:w="15" w:type="dxa"/>
            </w:tcMar>
            <w:vAlign w:val="center"/>
          </w:tcPr>
          <w:p w14:paraId="20FE2F33">
            <w:pPr>
              <w:contextualSpacing/>
              <w:jc w:val="center"/>
              <w:rPr>
                <w:rFonts w:ascii="宋体" w:hAnsi="宋体" w:cs="宋体"/>
                <w:color w:val="000000"/>
                <w:kern w:val="0"/>
                <w:sz w:val="22"/>
              </w:rPr>
            </w:pPr>
          </w:p>
        </w:tc>
        <w:tc>
          <w:tcPr>
            <w:tcW w:w="3092" w:type="dxa"/>
            <w:noWrap w:val="0"/>
            <w:tcMar>
              <w:top w:w="15" w:type="dxa"/>
              <w:left w:w="15" w:type="dxa"/>
              <w:bottom w:w="0" w:type="dxa"/>
              <w:right w:w="15" w:type="dxa"/>
            </w:tcMar>
            <w:vAlign w:val="center"/>
          </w:tcPr>
          <w:p w14:paraId="2AAC6657">
            <w:pPr>
              <w:jc w:val="center"/>
              <w:rPr>
                <w:rFonts w:hint="eastAsia" w:ascii="宋体" w:hAnsi="宋体" w:eastAsia="宋体" w:cs="宋体"/>
                <w:color w:val="000000"/>
                <w:kern w:val="0"/>
                <w:sz w:val="22"/>
                <w:lang w:eastAsia="zh-CN"/>
              </w:rPr>
            </w:pPr>
            <w:r>
              <w:rPr>
                <w:rFonts w:hint="eastAsia" w:ascii="宋体" w:hAnsi="宋体" w:cs="宋体"/>
                <w:szCs w:val="21"/>
              </w:rPr>
              <w:t>GB/T2951.21</w:t>
            </w:r>
          </w:p>
        </w:tc>
      </w:tr>
      <w:tr w14:paraId="006888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10" w:hRule="atLeast"/>
        </w:trPr>
        <w:tc>
          <w:tcPr>
            <w:tcW w:w="430" w:type="pct"/>
            <w:noWrap w:val="0"/>
            <w:tcMar>
              <w:top w:w="15" w:type="dxa"/>
              <w:left w:w="15" w:type="dxa"/>
              <w:bottom w:w="0" w:type="dxa"/>
              <w:right w:w="15" w:type="dxa"/>
            </w:tcMar>
            <w:vAlign w:val="center"/>
          </w:tcPr>
          <w:p w14:paraId="44B65EA8">
            <w:pPr>
              <w:contextualSpacing/>
              <w:jc w:val="center"/>
              <w:rPr>
                <w:rFonts w:ascii="宋体" w:hAnsi="宋体" w:cs="宋体"/>
                <w:color w:val="000000"/>
                <w:kern w:val="0"/>
                <w:sz w:val="22"/>
              </w:rPr>
            </w:pPr>
            <w:r>
              <w:rPr>
                <w:rFonts w:hint="eastAsia" w:ascii="宋体" w:hAnsi="宋体" w:cs="宋体"/>
                <w:color w:val="000000"/>
                <w:kern w:val="0"/>
                <w:sz w:val="22"/>
              </w:rPr>
              <w:t>11</w:t>
            </w:r>
          </w:p>
        </w:tc>
        <w:tc>
          <w:tcPr>
            <w:tcW w:w="1276" w:type="pct"/>
            <w:noWrap w:val="0"/>
            <w:tcMar>
              <w:top w:w="15" w:type="dxa"/>
              <w:left w:w="15" w:type="dxa"/>
              <w:bottom w:w="0" w:type="dxa"/>
              <w:right w:w="15" w:type="dxa"/>
            </w:tcMar>
            <w:vAlign w:val="center"/>
          </w:tcPr>
          <w:p w14:paraId="23C86EFC">
            <w:pPr>
              <w:jc w:val="center"/>
              <w:rPr>
                <w:rFonts w:hint="eastAsia" w:ascii="宋体" w:hAnsi="宋体" w:eastAsia="宋体" w:cs="宋体"/>
                <w:color w:val="000000"/>
                <w:kern w:val="0"/>
                <w:sz w:val="22"/>
                <w:lang w:val="en-US" w:eastAsia="zh-CN"/>
              </w:rPr>
            </w:pPr>
            <w:r>
              <w:rPr>
                <w:rFonts w:hint="eastAsia" w:ascii="宋体" w:hAnsi="宋体" w:cs="宋体"/>
                <w:szCs w:val="21"/>
                <w:lang w:val="en-US" w:eastAsia="zh-CN"/>
              </w:rPr>
              <w:t>曲挠试验</w:t>
            </w:r>
          </w:p>
        </w:tc>
        <w:tc>
          <w:tcPr>
            <w:tcW w:w="1565" w:type="pct"/>
            <w:vMerge w:val="continue"/>
            <w:noWrap w:val="0"/>
            <w:tcMar>
              <w:top w:w="15" w:type="dxa"/>
              <w:left w:w="15" w:type="dxa"/>
              <w:bottom w:w="0" w:type="dxa"/>
              <w:right w:w="15" w:type="dxa"/>
            </w:tcMar>
            <w:vAlign w:val="center"/>
          </w:tcPr>
          <w:p w14:paraId="5A34C389">
            <w:pPr>
              <w:contextualSpacing/>
              <w:jc w:val="center"/>
              <w:rPr>
                <w:rFonts w:ascii="宋体" w:hAnsi="宋体" w:cs="宋体"/>
                <w:color w:val="000000"/>
                <w:kern w:val="0"/>
                <w:sz w:val="22"/>
              </w:rPr>
            </w:pPr>
          </w:p>
        </w:tc>
        <w:tc>
          <w:tcPr>
            <w:tcW w:w="3092" w:type="dxa"/>
            <w:noWrap w:val="0"/>
            <w:tcMar>
              <w:top w:w="15" w:type="dxa"/>
              <w:left w:w="15" w:type="dxa"/>
              <w:bottom w:w="0" w:type="dxa"/>
              <w:right w:w="15" w:type="dxa"/>
            </w:tcMar>
            <w:vAlign w:val="center"/>
          </w:tcPr>
          <w:p w14:paraId="231D9C4A">
            <w:pPr>
              <w:jc w:val="center"/>
              <w:rPr>
                <w:rFonts w:hint="eastAsia" w:ascii="宋体" w:hAnsi="宋体" w:eastAsia="宋体" w:cs="宋体"/>
                <w:color w:val="000000"/>
                <w:kern w:val="0"/>
                <w:sz w:val="22"/>
                <w:lang w:eastAsia="zh-CN"/>
              </w:rPr>
            </w:pPr>
            <w:r>
              <w:rPr>
                <w:rFonts w:hint="eastAsia" w:ascii="宋体" w:hAnsi="宋体" w:cs="宋体"/>
                <w:szCs w:val="21"/>
                <w:lang w:val="en-US" w:eastAsia="zh-CN"/>
              </w:rPr>
              <w:t>JB/T 10491</w:t>
            </w:r>
          </w:p>
        </w:tc>
      </w:tr>
      <w:tr w14:paraId="226D2C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10" w:hRule="atLeast"/>
        </w:trPr>
        <w:tc>
          <w:tcPr>
            <w:tcW w:w="430" w:type="pct"/>
            <w:noWrap w:val="0"/>
            <w:tcMar>
              <w:top w:w="15" w:type="dxa"/>
              <w:left w:w="15" w:type="dxa"/>
              <w:bottom w:w="0" w:type="dxa"/>
              <w:right w:w="15" w:type="dxa"/>
            </w:tcMar>
            <w:vAlign w:val="center"/>
          </w:tcPr>
          <w:p w14:paraId="64F545E3">
            <w:pPr>
              <w:contextualSpacing/>
              <w:jc w:val="center"/>
              <w:rPr>
                <w:rFonts w:hint="default" w:ascii="宋体" w:hAnsi="宋体" w:eastAsia="宋体" w:cs="宋体"/>
                <w:color w:val="000000"/>
                <w:kern w:val="0"/>
                <w:sz w:val="22"/>
                <w:lang w:val="en-US" w:eastAsia="zh-CN"/>
              </w:rPr>
            </w:pPr>
            <w:r>
              <w:rPr>
                <w:rFonts w:hint="eastAsia" w:ascii="宋体" w:hAnsi="宋体" w:cs="宋体"/>
                <w:color w:val="000000"/>
                <w:kern w:val="0"/>
                <w:sz w:val="22"/>
                <w:lang w:val="en-US" w:eastAsia="zh-CN"/>
              </w:rPr>
              <w:t>12</w:t>
            </w:r>
          </w:p>
        </w:tc>
        <w:tc>
          <w:tcPr>
            <w:tcW w:w="1276" w:type="pct"/>
            <w:noWrap w:val="0"/>
            <w:tcMar>
              <w:top w:w="15" w:type="dxa"/>
              <w:left w:w="15" w:type="dxa"/>
              <w:bottom w:w="0" w:type="dxa"/>
              <w:right w:w="15" w:type="dxa"/>
            </w:tcMar>
            <w:vAlign w:val="center"/>
          </w:tcPr>
          <w:p w14:paraId="0FE8A4D1">
            <w:pPr>
              <w:jc w:val="center"/>
              <w:rPr>
                <w:rFonts w:hint="eastAsia" w:ascii="宋体" w:hAnsi="宋体" w:cs="宋体"/>
                <w:szCs w:val="21"/>
                <w:lang w:val="en-US" w:eastAsia="zh-CN"/>
              </w:rPr>
            </w:pPr>
            <w:r>
              <w:rPr>
                <w:rFonts w:hint="eastAsia" w:ascii="宋体" w:hAnsi="宋体" w:cs="宋体"/>
                <w:szCs w:val="21"/>
                <w:lang w:val="en-US" w:eastAsia="zh-CN"/>
              </w:rPr>
              <w:t>单根电线或电缆的阻燃性试验</w:t>
            </w:r>
          </w:p>
        </w:tc>
        <w:tc>
          <w:tcPr>
            <w:tcW w:w="1565" w:type="pct"/>
            <w:vMerge w:val="continue"/>
            <w:noWrap w:val="0"/>
            <w:tcMar>
              <w:top w:w="15" w:type="dxa"/>
              <w:left w:w="15" w:type="dxa"/>
              <w:bottom w:w="0" w:type="dxa"/>
              <w:right w:w="15" w:type="dxa"/>
            </w:tcMar>
            <w:vAlign w:val="center"/>
          </w:tcPr>
          <w:p w14:paraId="42975D67">
            <w:pPr>
              <w:contextualSpacing/>
              <w:jc w:val="center"/>
              <w:rPr>
                <w:rFonts w:ascii="宋体" w:hAnsi="宋体" w:cs="宋体"/>
                <w:color w:val="000000"/>
                <w:kern w:val="0"/>
                <w:sz w:val="22"/>
              </w:rPr>
            </w:pPr>
          </w:p>
        </w:tc>
        <w:tc>
          <w:tcPr>
            <w:tcW w:w="3092" w:type="dxa"/>
            <w:noWrap w:val="0"/>
            <w:tcMar>
              <w:top w:w="15" w:type="dxa"/>
              <w:left w:w="15" w:type="dxa"/>
              <w:bottom w:w="0" w:type="dxa"/>
              <w:right w:w="15" w:type="dxa"/>
            </w:tcMar>
            <w:vAlign w:val="center"/>
          </w:tcPr>
          <w:p w14:paraId="63B9D89D">
            <w:pPr>
              <w:jc w:val="center"/>
              <w:rPr>
                <w:rFonts w:hint="eastAsia" w:ascii="宋体" w:hAnsi="宋体" w:cs="宋体"/>
                <w:szCs w:val="21"/>
              </w:rPr>
            </w:pPr>
            <w:r>
              <w:rPr>
                <w:rFonts w:hint="eastAsia" w:ascii="宋体" w:hAnsi="宋体" w:cs="宋体"/>
                <w:szCs w:val="21"/>
              </w:rPr>
              <w:t>GB/T 18380.12</w:t>
            </w:r>
          </w:p>
        </w:tc>
      </w:tr>
    </w:tbl>
    <w:p w14:paraId="56D49D21">
      <w:pPr>
        <w:snapToGrid w:val="0"/>
        <w:spacing w:line="440" w:lineRule="exact"/>
        <w:jc w:val="center"/>
        <w:rPr>
          <w:rFonts w:ascii="Times New Roman" w:hAnsi="Times New Roman" w:eastAsia="方正仿宋_GBK"/>
          <w:color w:val="000000"/>
          <w:sz w:val="28"/>
          <w:szCs w:val="28"/>
        </w:rPr>
      </w:pPr>
    </w:p>
    <w:p w14:paraId="10C3AFC6">
      <w:pPr>
        <w:spacing w:line="580"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注1：具体试验项目依据所抽样品型号规格的标准要求确定；具体试验项目依据所抽样品型号规格的标准要求确定。</w:t>
      </w:r>
    </w:p>
    <w:p w14:paraId="3353DCBC">
      <w:pPr>
        <w:spacing w:line="580" w:lineRule="exact"/>
        <w:ind w:firstLine="56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检验方法包括相关产品标准及试验方法标准。</w:t>
      </w:r>
    </w:p>
    <w:p w14:paraId="0779A7EC">
      <w:pPr>
        <w:spacing w:line="580" w:lineRule="exact"/>
        <w:ind w:firstLine="560"/>
        <w:rPr>
          <w:rFonts w:hint="eastAsia" w:ascii="宋体" w:hAnsi="宋体" w:cs="宋体"/>
          <w:color w:val="000000"/>
          <w:sz w:val="32"/>
          <w:szCs w:val="32"/>
        </w:rPr>
      </w:pPr>
      <w:r>
        <w:rPr>
          <w:rFonts w:hint="eastAsia" w:ascii="方正仿宋_GBK" w:hAnsi="方正仿宋_GBK" w:eastAsia="方正仿宋_GBK" w:cs="方正仿宋_GBK"/>
          <w:color w:val="000000"/>
          <w:sz w:val="32"/>
          <w:szCs w:val="32"/>
        </w:rPr>
        <w:t>凡是注日期的文件，其随后所有的修改单（不包括勘误的内容）或修订版不适用于本细则。凡是不注日期的文件，其最新版本适用于本细则。</w:t>
      </w:r>
    </w:p>
    <w:p w14:paraId="6130FCA9">
      <w:pPr>
        <w:spacing w:line="580" w:lineRule="exact"/>
        <w:ind w:firstLine="640" w:firstLineChars="200"/>
        <w:rPr>
          <w:rFonts w:hint="eastAsia" w:ascii="Times New Roman" w:hAnsi="Times New Roman" w:eastAsia="方正仿宋_GBK"/>
          <w:color w:val="000000"/>
          <w:kern w:val="0"/>
          <w:sz w:val="32"/>
          <w:szCs w:val="32"/>
          <w:shd w:val="clear" w:color="auto" w:fill="FFFFFF"/>
          <w:lang w:bidi="ar"/>
        </w:rPr>
      </w:pPr>
      <w:r>
        <w:rPr>
          <w:rFonts w:hint="eastAsia" w:ascii="Times New Roman" w:hAnsi="Times New Roman" w:eastAsia="方正黑体_GBK"/>
          <w:color w:val="000000"/>
          <w:kern w:val="0"/>
          <w:sz w:val="32"/>
          <w:szCs w:val="32"/>
          <w:shd w:val="clear" w:color="auto" w:fill="FFFFFF"/>
          <w:lang w:bidi="ar"/>
        </w:rPr>
        <w:t>4</w:t>
      </w:r>
      <w:r>
        <w:rPr>
          <w:rFonts w:ascii="Times New Roman" w:hAnsi="Times New Roman" w:eastAsia="方正黑体_GBK"/>
          <w:color w:val="000000"/>
          <w:kern w:val="0"/>
          <w:sz w:val="32"/>
          <w:szCs w:val="32"/>
          <w:shd w:val="clear" w:color="auto" w:fill="FFFFFF"/>
          <w:lang w:bidi="ar"/>
        </w:rPr>
        <w:t>.</w:t>
      </w:r>
      <w:r>
        <w:rPr>
          <w:rFonts w:hint="eastAsia" w:ascii="方正黑体_GBK" w:hAnsi="方正仿宋_GBK" w:eastAsia="方正黑体_GBK" w:cs="方正仿宋_GBK"/>
          <w:color w:val="000000"/>
          <w:kern w:val="0"/>
          <w:sz w:val="32"/>
          <w:szCs w:val="32"/>
          <w:shd w:val="clear" w:color="auto" w:fill="FFFFFF"/>
          <w:lang w:bidi="ar"/>
        </w:rPr>
        <w:t>判定规则</w:t>
      </w:r>
    </w:p>
    <w:p w14:paraId="6994D9EC">
      <w:pPr>
        <w:spacing w:line="580" w:lineRule="exact"/>
        <w:ind w:firstLine="560"/>
        <w:rPr>
          <w:rFonts w:hint="eastAsia" w:ascii="方正仿宋_GBK" w:hAnsi="方正仿宋_GBK" w:eastAsia="方正仿宋_GBK" w:cs="方正仿宋_GBK"/>
          <w:b/>
          <w:bCs/>
          <w:color w:val="000000"/>
          <w:sz w:val="32"/>
          <w:szCs w:val="32"/>
        </w:rPr>
      </w:pPr>
      <w:r>
        <w:rPr>
          <w:rFonts w:hint="eastAsia" w:ascii="Times New Roman" w:hAnsi="Times New Roman" w:eastAsia="方正仿宋_GBK"/>
          <w:b/>
          <w:bCs/>
          <w:color w:val="000000"/>
          <w:kern w:val="0"/>
          <w:sz w:val="32"/>
          <w:szCs w:val="32"/>
          <w:shd w:val="clear" w:color="auto" w:fill="FFFFFF"/>
          <w:lang w:bidi="ar"/>
        </w:rPr>
        <w:t>4.1</w:t>
      </w:r>
      <w:r>
        <w:rPr>
          <w:rFonts w:hint="eastAsia" w:ascii="方正仿宋_GBK" w:hAnsi="方正仿宋_GBK" w:eastAsia="方正仿宋_GBK" w:cs="方正仿宋_GBK"/>
          <w:b/>
          <w:bCs/>
          <w:color w:val="000000"/>
          <w:sz w:val="32"/>
          <w:szCs w:val="32"/>
        </w:rPr>
        <w:t>依据标准</w:t>
      </w:r>
    </w:p>
    <w:p w14:paraId="10A2686C">
      <w:pPr>
        <w:spacing w:line="580" w:lineRule="exact"/>
        <w:ind w:firstLine="560"/>
        <w:rPr>
          <w:rFonts w:hint="eastAsia" w:ascii="方正仿宋_GBK" w:hAnsi="方正仿宋_GBK" w:eastAsia="方正仿宋_GBK" w:cs="方正仿宋_GBK"/>
          <w:color w:val="000000"/>
          <w:sz w:val="32"/>
          <w:szCs w:val="32"/>
        </w:rPr>
      </w:pPr>
      <w:r>
        <w:rPr>
          <w:rFonts w:hint="eastAsia" w:ascii="方正仿宋_GBK" w:hAnsi="方正仿宋_GBK" w:eastAsia="方正仿宋_GBK" w:cs="方正仿宋_GBK"/>
          <w:color w:val="000000"/>
          <w:sz w:val="32"/>
          <w:szCs w:val="32"/>
        </w:rPr>
        <w:t>GB/T</w:t>
      </w:r>
      <w:r>
        <w:rPr>
          <w:rFonts w:hint="eastAsia" w:ascii="方正仿宋_GBK" w:hAnsi="方正仿宋_GBK" w:eastAsia="方正仿宋_GBK" w:cs="方正仿宋_GBK"/>
          <w:color w:val="000000"/>
          <w:sz w:val="32"/>
          <w:szCs w:val="32"/>
          <w:lang w:val="en-US" w:eastAsia="zh-CN"/>
        </w:rPr>
        <w:t xml:space="preserve"> </w:t>
      </w:r>
      <w:r>
        <w:rPr>
          <w:rFonts w:hint="eastAsia" w:ascii="方正仿宋_GBK" w:hAnsi="方正仿宋_GBK" w:eastAsia="方正仿宋_GBK" w:cs="方正仿宋_GBK"/>
          <w:color w:val="000000"/>
          <w:sz w:val="32"/>
          <w:szCs w:val="32"/>
        </w:rPr>
        <w:t>5013.1-2008《额定电压450/750V及以下橡皮绝缘电缆 第1部分：一般要求》</w:t>
      </w:r>
    </w:p>
    <w:p w14:paraId="37C1B864">
      <w:pPr>
        <w:spacing w:line="580" w:lineRule="exact"/>
        <w:ind w:firstLine="560"/>
        <w:rPr>
          <w:rFonts w:hint="eastAsia" w:ascii="方正仿宋_GBK" w:hAnsi="方正仿宋_GBK" w:eastAsia="方正仿宋_GBK" w:cs="方正仿宋_GBK"/>
          <w:color w:val="000000"/>
          <w:sz w:val="32"/>
          <w:szCs w:val="32"/>
        </w:rPr>
      </w:pPr>
      <w:r>
        <w:rPr>
          <w:rFonts w:hint="eastAsia" w:ascii="方正仿宋_GBK" w:hAnsi="方正仿宋_GBK" w:eastAsia="方正仿宋_GBK" w:cs="方正仿宋_GBK"/>
          <w:color w:val="000000"/>
          <w:sz w:val="32"/>
          <w:szCs w:val="32"/>
        </w:rPr>
        <w:t>GB/T 5013.2-2008《额定电压450/750V及以下橡皮绝缘电缆 第2部分：试验方法》</w:t>
      </w:r>
    </w:p>
    <w:p w14:paraId="1DB491EE">
      <w:pPr>
        <w:spacing w:line="580" w:lineRule="exact"/>
        <w:ind w:firstLine="560"/>
        <w:rPr>
          <w:rFonts w:hint="eastAsia" w:ascii="方正仿宋_GBK" w:hAnsi="方正仿宋_GBK" w:eastAsia="方正仿宋_GBK" w:cs="方正仿宋_GBK"/>
          <w:color w:val="000000"/>
          <w:sz w:val="32"/>
          <w:szCs w:val="32"/>
        </w:rPr>
      </w:pPr>
      <w:r>
        <w:rPr>
          <w:rFonts w:hint="eastAsia" w:ascii="方正仿宋_GBK" w:hAnsi="方正仿宋_GBK" w:eastAsia="方正仿宋_GBK" w:cs="方正仿宋_GBK"/>
          <w:color w:val="000000"/>
          <w:sz w:val="32"/>
          <w:szCs w:val="32"/>
        </w:rPr>
        <w:t>GB/T 5013.3-2008《额定电压450/750V及以下橡皮绝缘电缆 第3部分：耐热硅橡胶绝缘电缆》</w:t>
      </w:r>
    </w:p>
    <w:p w14:paraId="0058E3E3">
      <w:pPr>
        <w:spacing w:line="580" w:lineRule="exact"/>
        <w:ind w:firstLine="560"/>
        <w:rPr>
          <w:rFonts w:hint="eastAsia" w:ascii="方正仿宋_GBK" w:hAnsi="方正仿宋_GBK" w:eastAsia="方正仿宋_GBK" w:cs="方正仿宋_GBK"/>
          <w:color w:val="000000"/>
          <w:sz w:val="32"/>
          <w:szCs w:val="32"/>
        </w:rPr>
      </w:pPr>
      <w:r>
        <w:rPr>
          <w:rFonts w:hint="eastAsia" w:ascii="方正仿宋_GBK" w:hAnsi="方正仿宋_GBK" w:eastAsia="方正仿宋_GBK" w:cs="方正仿宋_GBK"/>
          <w:color w:val="000000"/>
          <w:sz w:val="32"/>
          <w:szCs w:val="32"/>
        </w:rPr>
        <w:t>GB/T 5013.4-2008《额定电压450/750V及以下橡皮绝缘电缆 第4部分：软线和软电缆》</w:t>
      </w:r>
    </w:p>
    <w:p w14:paraId="78DDC3CF">
      <w:pPr>
        <w:spacing w:line="580" w:lineRule="exact"/>
        <w:ind w:firstLine="560"/>
        <w:rPr>
          <w:rFonts w:hint="eastAsia" w:ascii="方正仿宋_GBK" w:hAnsi="方正仿宋_GBK" w:eastAsia="方正仿宋_GBK" w:cs="方正仿宋_GBK"/>
          <w:color w:val="000000"/>
          <w:sz w:val="32"/>
          <w:szCs w:val="32"/>
        </w:rPr>
      </w:pPr>
      <w:r>
        <w:rPr>
          <w:rFonts w:hint="eastAsia" w:ascii="方正仿宋_GBK" w:hAnsi="方正仿宋_GBK" w:eastAsia="方正仿宋_GBK" w:cs="方正仿宋_GBK"/>
          <w:color w:val="000000"/>
          <w:sz w:val="32"/>
          <w:szCs w:val="32"/>
        </w:rPr>
        <w:t>GB/T 5013.5-2008《额定电压450/750V及以下橡皮绝缘电缆 第5部分：电梯电缆》</w:t>
      </w:r>
    </w:p>
    <w:p w14:paraId="382349D4">
      <w:pPr>
        <w:spacing w:line="580" w:lineRule="exact"/>
        <w:ind w:firstLine="560"/>
        <w:rPr>
          <w:rFonts w:hint="eastAsia" w:ascii="方正仿宋_GBK" w:hAnsi="方正仿宋_GBK" w:eastAsia="方正仿宋_GBK" w:cs="方正仿宋_GBK"/>
          <w:color w:val="000000"/>
          <w:sz w:val="32"/>
          <w:szCs w:val="32"/>
        </w:rPr>
      </w:pPr>
      <w:r>
        <w:rPr>
          <w:rFonts w:hint="eastAsia" w:ascii="方正仿宋_GBK" w:hAnsi="方正仿宋_GBK" w:eastAsia="方正仿宋_GBK" w:cs="方正仿宋_GBK"/>
          <w:color w:val="000000"/>
          <w:sz w:val="32"/>
          <w:szCs w:val="32"/>
        </w:rPr>
        <w:t>GB/T 5013.6-2008《额定电压450/750V及以下橡皮绝缘电缆 第6部分：电焊机电缆》</w:t>
      </w:r>
    </w:p>
    <w:p w14:paraId="6BEE021B">
      <w:pPr>
        <w:spacing w:line="580" w:lineRule="exact"/>
        <w:ind w:firstLine="560"/>
        <w:rPr>
          <w:rFonts w:hint="eastAsia" w:ascii="方正仿宋_GBK" w:hAnsi="方正仿宋_GBK" w:eastAsia="方正仿宋_GBK" w:cs="方正仿宋_GBK"/>
          <w:color w:val="000000"/>
          <w:sz w:val="32"/>
          <w:szCs w:val="32"/>
        </w:rPr>
      </w:pPr>
      <w:r>
        <w:rPr>
          <w:rFonts w:hint="eastAsia" w:ascii="方正仿宋_GBK" w:hAnsi="方正仿宋_GBK" w:eastAsia="方正仿宋_GBK" w:cs="方正仿宋_GBK"/>
          <w:color w:val="000000"/>
          <w:sz w:val="32"/>
          <w:szCs w:val="32"/>
        </w:rPr>
        <w:t xml:space="preserve">GB/T 5013.7-2008《额定电压450/750V及以下橡皮绝缘电缆 第7部分：耐热乙烯-乙酸乙烯酯橡皮绝缘电缆》 </w:t>
      </w:r>
    </w:p>
    <w:p w14:paraId="16F2E565">
      <w:pPr>
        <w:spacing w:line="580" w:lineRule="exact"/>
        <w:ind w:firstLine="560"/>
        <w:rPr>
          <w:rFonts w:hint="eastAsia" w:ascii="方正仿宋_GBK" w:hAnsi="方正仿宋_GBK" w:eastAsia="方正仿宋_GBK" w:cs="方正仿宋_GBK"/>
          <w:color w:val="000000"/>
          <w:sz w:val="32"/>
          <w:szCs w:val="32"/>
        </w:rPr>
      </w:pPr>
      <w:r>
        <w:rPr>
          <w:rFonts w:hint="eastAsia" w:ascii="方正仿宋_GBK" w:hAnsi="方正仿宋_GBK" w:eastAsia="方正仿宋_GBK" w:cs="方正仿宋_GBK"/>
          <w:color w:val="000000"/>
          <w:sz w:val="32"/>
          <w:szCs w:val="32"/>
        </w:rPr>
        <w:t>GB/T 5013.8-2013《额定电压450/750V及以下橡皮绝缘电缆 第8部分:特软电线》</w:t>
      </w:r>
    </w:p>
    <w:p w14:paraId="3D8D76C2">
      <w:pPr>
        <w:spacing w:line="580" w:lineRule="exact"/>
        <w:ind w:firstLine="560"/>
        <w:rPr>
          <w:rFonts w:hint="eastAsia" w:ascii="方正仿宋_GBK" w:hAnsi="方正仿宋_GBK" w:eastAsia="方正仿宋_GBK" w:cs="方正仿宋_GBK"/>
          <w:color w:val="000000"/>
          <w:sz w:val="32"/>
          <w:szCs w:val="32"/>
        </w:rPr>
      </w:pPr>
      <w:r>
        <w:rPr>
          <w:rFonts w:hint="eastAsia" w:ascii="方正仿宋_GBK" w:hAnsi="方正仿宋_GBK" w:eastAsia="方正仿宋_GBK" w:cs="方正仿宋_GBK"/>
          <w:color w:val="000000"/>
          <w:sz w:val="32"/>
          <w:szCs w:val="32"/>
        </w:rPr>
        <w:t>GB/T 5023.1-2008《额定电压450/750V及以下聚氯乙烯绝缘电缆 第1部分：一般要求》</w:t>
      </w:r>
    </w:p>
    <w:p w14:paraId="71123DE6">
      <w:pPr>
        <w:spacing w:line="580" w:lineRule="exact"/>
        <w:ind w:firstLine="560"/>
        <w:rPr>
          <w:rFonts w:hint="eastAsia" w:ascii="方正仿宋_GBK" w:hAnsi="方正仿宋_GBK" w:eastAsia="方正仿宋_GBK" w:cs="方正仿宋_GBK"/>
          <w:color w:val="000000"/>
          <w:sz w:val="32"/>
          <w:szCs w:val="32"/>
        </w:rPr>
      </w:pPr>
      <w:r>
        <w:rPr>
          <w:rFonts w:hint="eastAsia" w:ascii="方正仿宋_GBK" w:hAnsi="方正仿宋_GBK" w:eastAsia="方正仿宋_GBK" w:cs="方正仿宋_GBK"/>
          <w:color w:val="000000"/>
          <w:sz w:val="32"/>
          <w:szCs w:val="32"/>
        </w:rPr>
        <w:t xml:space="preserve">GB/T </w:t>
      </w:r>
      <w:r>
        <w:rPr>
          <w:rFonts w:hint="eastAsia" w:ascii="方正仿宋_GBK" w:hAnsi="方正仿宋_GBK" w:eastAsia="方正仿宋_GBK" w:cs="方正仿宋_GBK"/>
          <w:color w:val="000000"/>
          <w:sz w:val="32"/>
          <w:szCs w:val="32"/>
          <w:lang w:eastAsia="zh-CN"/>
        </w:rPr>
        <w:t>5023.2-2008</w:t>
      </w:r>
      <w:r>
        <w:rPr>
          <w:rFonts w:hint="eastAsia" w:ascii="方正仿宋_GBK" w:hAnsi="方正仿宋_GBK" w:eastAsia="方正仿宋_GBK" w:cs="方正仿宋_GBK"/>
          <w:color w:val="000000"/>
          <w:sz w:val="32"/>
          <w:szCs w:val="32"/>
        </w:rPr>
        <w:t>-2008《额定电压450/750V及以下聚氯乙烯绝缘电缆 第2部分：试验方法》</w:t>
      </w:r>
    </w:p>
    <w:p w14:paraId="7A41CA37">
      <w:pPr>
        <w:spacing w:line="580" w:lineRule="exact"/>
        <w:ind w:firstLine="560"/>
        <w:rPr>
          <w:rFonts w:hint="eastAsia" w:ascii="方正仿宋_GBK" w:hAnsi="方正仿宋_GBK" w:eastAsia="方正仿宋_GBK" w:cs="方正仿宋_GBK"/>
          <w:color w:val="000000"/>
          <w:sz w:val="32"/>
          <w:szCs w:val="32"/>
        </w:rPr>
      </w:pPr>
      <w:r>
        <w:rPr>
          <w:rFonts w:hint="eastAsia" w:ascii="方正仿宋_GBK" w:hAnsi="方正仿宋_GBK" w:eastAsia="方正仿宋_GBK" w:cs="方正仿宋_GBK"/>
          <w:color w:val="000000"/>
          <w:sz w:val="32"/>
          <w:szCs w:val="32"/>
        </w:rPr>
        <w:t>GB/T 5023.3-2008《额定电压450/750V及以下聚氯乙烯绝缘电缆 第3部分：固定布线用无护套电缆》</w:t>
      </w:r>
    </w:p>
    <w:p w14:paraId="5064690D">
      <w:pPr>
        <w:spacing w:line="580" w:lineRule="exact"/>
        <w:ind w:firstLine="560"/>
        <w:rPr>
          <w:rFonts w:hint="eastAsia" w:ascii="方正仿宋_GBK" w:hAnsi="方正仿宋_GBK" w:eastAsia="方正仿宋_GBK" w:cs="方正仿宋_GBK"/>
          <w:color w:val="000000"/>
          <w:sz w:val="32"/>
          <w:szCs w:val="32"/>
        </w:rPr>
      </w:pPr>
      <w:r>
        <w:rPr>
          <w:rFonts w:hint="eastAsia" w:ascii="方正仿宋_GBK" w:hAnsi="方正仿宋_GBK" w:eastAsia="方正仿宋_GBK" w:cs="方正仿宋_GBK"/>
          <w:color w:val="000000"/>
          <w:sz w:val="32"/>
          <w:szCs w:val="32"/>
        </w:rPr>
        <w:t>GB/T 5023.4-2008《额定电压450/750V及以下聚氯乙烯绝缘电缆 第4部分：固定布线用护套电缆》</w:t>
      </w:r>
    </w:p>
    <w:p w14:paraId="67B9F240">
      <w:pPr>
        <w:spacing w:line="580" w:lineRule="exact"/>
        <w:ind w:firstLine="560"/>
        <w:rPr>
          <w:rFonts w:hint="eastAsia" w:ascii="方正仿宋_GBK" w:hAnsi="方正仿宋_GBK" w:eastAsia="方正仿宋_GBK" w:cs="方正仿宋_GBK"/>
          <w:color w:val="000000"/>
          <w:sz w:val="32"/>
          <w:szCs w:val="32"/>
        </w:rPr>
      </w:pPr>
      <w:r>
        <w:rPr>
          <w:rFonts w:hint="eastAsia" w:ascii="方正仿宋_GBK" w:hAnsi="方正仿宋_GBK" w:eastAsia="方正仿宋_GBK" w:cs="方正仿宋_GBK"/>
          <w:color w:val="000000"/>
          <w:sz w:val="32"/>
          <w:szCs w:val="32"/>
        </w:rPr>
        <w:t>GB/T 5023.5-2008《额定电压450/750V及以下聚氯乙烯绝缘电缆 第5部分：软电缆（软线）》</w:t>
      </w:r>
    </w:p>
    <w:p w14:paraId="66DD2CC9">
      <w:pPr>
        <w:spacing w:line="580" w:lineRule="exact"/>
        <w:ind w:firstLine="560"/>
        <w:rPr>
          <w:rFonts w:hint="eastAsia" w:ascii="方正仿宋_GBK" w:hAnsi="方正仿宋_GBK" w:eastAsia="方正仿宋_GBK" w:cs="方正仿宋_GBK"/>
          <w:color w:val="000000"/>
          <w:sz w:val="32"/>
          <w:szCs w:val="32"/>
        </w:rPr>
      </w:pPr>
      <w:r>
        <w:rPr>
          <w:rFonts w:hint="eastAsia" w:ascii="方正仿宋_GBK" w:hAnsi="方正仿宋_GBK" w:eastAsia="方正仿宋_GBK" w:cs="方正仿宋_GBK"/>
          <w:color w:val="000000"/>
          <w:sz w:val="32"/>
          <w:szCs w:val="32"/>
        </w:rPr>
        <w:t>GB/T 5023.6-2006《额定电压450/750V及以下聚氯乙烯绝缘电缆 第6部分：电梯电缆和挠性连接用电缆》</w:t>
      </w:r>
    </w:p>
    <w:p w14:paraId="76C15D17">
      <w:pPr>
        <w:spacing w:line="580" w:lineRule="exact"/>
        <w:ind w:firstLine="560"/>
        <w:rPr>
          <w:rFonts w:hint="eastAsia" w:ascii="方正仿宋_GBK" w:hAnsi="方正仿宋_GBK" w:eastAsia="方正仿宋_GBK" w:cs="方正仿宋_GBK"/>
          <w:color w:val="000000"/>
          <w:sz w:val="32"/>
          <w:szCs w:val="32"/>
        </w:rPr>
      </w:pPr>
      <w:r>
        <w:rPr>
          <w:rFonts w:hint="eastAsia" w:ascii="方正仿宋_GBK" w:hAnsi="方正仿宋_GBK" w:eastAsia="方正仿宋_GBK" w:cs="方正仿宋_GBK"/>
          <w:color w:val="000000"/>
          <w:sz w:val="32"/>
          <w:szCs w:val="32"/>
        </w:rPr>
        <w:t>GB/T 5023.7-2008《额定电压450/750V及以下聚氯乙烯绝缘电缆 第7部分：二芯或多芯屏蔽和非屏蔽软电缆》</w:t>
      </w:r>
    </w:p>
    <w:p w14:paraId="4F0BCA04">
      <w:pPr>
        <w:spacing w:line="580" w:lineRule="exact"/>
        <w:ind w:firstLine="560"/>
        <w:rPr>
          <w:rFonts w:hint="eastAsia" w:ascii="方正仿宋_GBK" w:hAnsi="方正仿宋_GBK" w:eastAsia="方正仿宋_GBK" w:cs="方正仿宋_GBK"/>
          <w:color w:val="000000"/>
          <w:sz w:val="32"/>
          <w:szCs w:val="32"/>
        </w:rPr>
      </w:pPr>
      <w:r>
        <w:rPr>
          <w:rFonts w:hint="eastAsia" w:ascii="方正仿宋_GBK" w:hAnsi="方正仿宋_GBK" w:eastAsia="方正仿宋_GBK" w:cs="方正仿宋_GBK"/>
          <w:color w:val="000000"/>
          <w:sz w:val="32"/>
          <w:szCs w:val="32"/>
        </w:rPr>
        <w:t>JB/T 8734.1-2016《额定电压450/750V 及以下聚氯乙烯绝缘电缆电线和软线 第1部分：一般规定》</w:t>
      </w:r>
    </w:p>
    <w:p w14:paraId="6B9B29C7">
      <w:pPr>
        <w:spacing w:line="580" w:lineRule="exact"/>
        <w:ind w:firstLine="560"/>
        <w:rPr>
          <w:rFonts w:hint="eastAsia" w:ascii="方正仿宋_GBK" w:hAnsi="方正仿宋_GBK" w:eastAsia="方正仿宋_GBK" w:cs="方正仿宋_GBK"/>
          <w:color w:val="000000"/>
          <w:sz w:val="32"/>
          <w:szCs w:val="32"/>
        </w:rPr>
      </w:pPr>
      <w:r>
        <w:rPr>
          <w:rFonts w:hint="eastAsia" w:ascii="方正仿宋_GBK" w:hAnsi="方正仿宋_GBK" w:eastAsia="方正仿宋_GBK" w:cs="方正仿宋_GBK"/>
          <w:color w:val="000000"/>
          <w:sz w:val="32"/>
          <w:szCs w:val="32"/>
        </w:rPr>
        <w:t>JB/T 8734.2-2016《额定电压450/750V 及以下聚氯乙烯绝缘电缆电线和软线 第2部分：固定布线用电缆电线》</w:t>
      </w:r>
    </w:p>
    <w:p w14:paraId="1E8E07E1">
      <w:pPr>
        <w:spacing w:line="580" w:lineRule="exact"/>
        <w:ind w:firstLine="560"/>
        <w:rPr>
          <w:rFonts w:hint="eastAsia" w:ascii="方正仿宋_GBK" w:hAnsi="方正仿宋_GBK" w:eastAsia="方正仿宋_GBK" w:cs="方正仿宋_GBK"/>
          <w:color w:val="000000"/>
          <w:sz w:val="32"/>
          <w:szCs w:val="32"/>
        </w:rPr>
      </w:pPr>
      <w:r>
        <w:rPr>
          <w:rFonts w:hint="eastAsia" w:ascii="方正仿宋_GBK" w:hAnsi="方正仿宋_GBK" w:eastAsia="方正仿宋_GBK" w:cs="方正仿宋_GBK"/>
          <w:color w:val="000000"/>
          <w:sz w:val="32"/>
          <w:szCs w:val="32"/>
        </w:rPr>
        <w:t>JB/T 8734.3-2016《额定电压450/750V 及以下聚氯乙烯绝缘电缆电线和软线 第3部分：连接用软电线和软电缆》</w:t>
      </w:r>
    </w:p>
    <w:p w14:paraId="41106F1B">
      <w:pPr>
        <w:spacing w:line="580" w:lineRule="exact"/>
        <w:ind w:firstLine="560"/>
        <w:rPr>
          <w:rFonts w:hint="eastAsia" w:ascii="方正仿宋_GBK" w:hAnsi="方正仿宋_GBK" w:eastAsia="方正仿宋_GBK" w:cs="方正仿宋_GBK"/>
          <w:color w:val="000000"/>
          <w:sz w:val="32"/>
          <w:szCs w:val="32"/>
        </w:rPr>
      </w:pPr>
      <w:r>
        <w:rPr>
          <w:rFonts w:hint="eastAsia" w:ascii="方正仿宋_GBK" w:hAnsi="方正仿宋_GBK" w:eastAsia="方正仿宋_GBK" w:cs="方正仿宋_GBK"/>
          <w:color w:val="000000"/>
          <w:sz w:val="32"/>
          <w:szCs w:val="32"/>
        </w:rPr>
        <w:t>JB/T 8734.4-2016《额定电压450/750V 及以下聚氯乙烯绝缘电缆电线和软线 第4部分：安装用电线》</w:t>
      </w:r>
    </w:p>
    <w:p w14:paraId="7127118F">
      <w:pPr>
        <w:spacing w:line="580" w:lineRule="exact"/>
        <w:ind w:firstLine="560"/>
        <w:rPr>
          <w:rFonts w:hint="eastAsia" w:ascii="方正仿宋_GBK" w:hAnsi="方正仿宋_GBK" w:eastAsia="方正仿宋_GBK" w:cs="方正仿宋_GBK"/>
          <w:color w:val="000000"/>
          <w:sz w:val="32"/>
          <w:szCs w:val="32"/>
        </w:rPr>
      </w:pPr>
      <w:r>
        <w:rPr>
          <w:rFonts w:hint="eastAsia" w:ascii="方正仿宋_GBK" w:hAnsi="方正仿宋_GBK" w:eastAsia="方正仿宋_GBK" w:cs="方正仿宋_GBK"/>
          <w:color w:val="000000"/>
          <w:sz w:val="32"/>
          <w:szCs w:val="32"/>
        </w:rPr>
        <w:t>JB/T 8734.5-2016《额定电压450/750V 及以下聚氯乙烯绝缘电缆电线和软线 第5部分：屏蔽电线》</w:t>
      </w:r>
    </w:p>
    <w:p w14:paraId="3C62F10B">
      <w:pPr>
        <w:spacing w:line="580" w:lineRule="exact"/>
        <w:ind w:firstLine="560"/>
        <w:rPr>
          <w:rFonts w:hint="eastAsia" w:ascii="方正仿宋_GBK" w:hAnsi="方正仿宋_GBK" w:eastAsia="方正仿宋_GBK" w:cs="方正仿宋_GBK"/>
          <w:color w:val="000000"/>
          <w:sz w:val="32"/>
          <w:szCs w:val="32"/>
        </w:rPr>
      </w:pPr>
      <w:r>
        <w:rPr>
          <w:rFonts w:hint="eastAsia" w:ascii="方正仿宋_GBK" w:hAnsi="方正仿宋_GBK" w:eastAsia="方正仿宋_GBK" w:cs="方正仿宋_GBK"/>
          <w:color w:val="000000"/>
          <w:sz w:val="32"/>
          <w:szCs w:val="32"/>
        </w:rPr>
        <w:t>JB/T 8734.6-2016《额定电压450/750V 及以下聚氯乙烯绝缘电缆电线和软线 第6部分：电梯电缆》</w:t>
      </w:r>
    </w:p>
    <w:p w14:paraId="2E79E58F">
      <w:pPr>
        <w:spacing w:line="580" w:lineRule="exact"/>
        <w:ind w:firstLine="560"/>
        <w:rPr>
          <w:rFonts w:hint="eastAsia" w:ascii="方正仿宋_GBK" w:hAnsi="方正仿宋_GBK" w:eastAsia="方正仿宋_GBK" w:cs="方正仿宋_GBK"/>
          <w:color w:val="000000"/>
          <w:sz w:val="32"/>
          <w:szCs w:val="32"/>
        </w:rPr>
      </w:pPr>
      <w:r>
        <w:rPr>
          <w:rFonts w:hint="eastAsia" w:ascii="方正仿宋_GBK" w:hAnsi="方正仿宋_GBK" w:eastAsia="方正仿宋_GBK" w:cs="方正仿宋_GBK"/>
          <w:color w:val="000000"/>
          <w:sz w:val="32"/>
          <w:szCs w:val="32"/>
        </w:rPr>
        <w:t>JB/T 8735.1-2016《额定电压450/750V及以下橡皮绝缘软线和软电缆 第1部分：一般要求》</w:t>
      </w:r>
    </w:p>
    <w:p w14:paraId="4BB5552B">
      <w:pPr>
        <w:spacing w:line="580" w:lineRule="exact"/>
        <w:ind w:firstLine="560"/>
        <w:rPr>
          <w:rFonts w:hint="eastAsia" w:ascii="方正仿宋_GBK" w:hAnsi="方正仿宋_GBK" w:eastAsia="方正仿宋_GBK" w:cs="方正仿宋_GBK"/>
          <w:color w:val="000000"/>
          <w:sz w:val="32"/>
          <w:szCs w:val="32"/>
        </w:rPr>
      </w:pPr>
      <w:r>
        <w:rPr>
          <w:rFonts w:hint="eastAsia" w:ascii="方正仿宋_GBK" w:hAnsi="方正仿宋_GBK" w:eastAsia="方正仿宋_GBK" w:cs="方正仿宋_GBK"/>
          <w:color w:val="000000"/>
          <w:sz w:val="32"/>
          <w:szCs w:val="32"/>
        </w:rPr>
        <w:t>JB/T 8735.2-2016《额定电压450/750V及以下橡皮绝缘软线和软电缆 第2部分：通用橡套软电缆》</w:t>
      </w:r>
    </w:p>
    <w:p w14:paraId="7B8205E5">
      <w:pPr>
        <w:spacing w:line="580" w:lineRule="exact"/>
        <w:ind w:firstLine="560"/>
        <w:rPr>
          <w:rFonts w:hint="eastAsia" w:ascii="方正仿宋_GBK" w:hAnsi="方正仿宋_GBK" w:eastAsia="方正仿宋_GBK" w:cs="方正仿宋_GBK"/>
          <w:color w:val="000000"/>
          <w:sz w:val="32"/>
          <w:szCs w:val="32"/>
        </w:rPr>
      </w:pPr>
      <w:r>
        <w:rPr>
          <w:rFonts w:hint="eastAsia" w:ascii="方正仿宋_GBK" w:hAnsi="方正仿宋_GBK" w:eastAsia="方正仿宋_GBK" w:cs="方正仿宋_GBK"/>
          <w:color w:val="000000"/>
          <w:sz w:val="32"/>
          <w:szCs w:val="32"/>
        </w:rPr>
        <w:t>JB/T 8735.3-2016《额定电压450/750V及以下橡皮绝缘软线和软电缆 第3部分：橡皮绝缘编织软电线》</w:t>
      </w:r>
    </w:p>
    <w:p w14:paraId="15FCA345">
      <w:pPr>
        <w:spacing w:line="580" w:lineRule="exact"/>
        <w:ind w:firstLine="560"/>
        <w:rPr>
          <w:rFonts w:hint="eastAsia" w:ascii="方正仿宋_GBK" w:hAnsi="方正仿宋_GBK" w:eastAsia="方正仿宋_GBK" w:cs="方正仿宋_GBK"/>
          <w:color w:val="000000"/>
          <w:sz w:val="32"/>
          <w:szCs w:val="32"/>
        </w:rPr>
      </w:pPr>
      <w:r>
        <w:rPr>
          <w:rFonts w:hint="eastAsia" w:ascii="方正仿宋_GBK" w:hAnsi="方正仿宋_GBK" w:eastAsia="方正仿宋_GBK" w:cs="方正仿宋_GBK"/>
          <w:color w:val="000000"/>
          <w:sz w:val="32"/>
          <w:szCs w:val="32"/>
        </w:rPr>
        <w:t>JB/T 10491-2022《额定电压450/750V及以下交联聚烯烃绝缘电线和电缆》</w:t>
      </w:r>
    </w:p>
    <w:p w14:paraId="6D6B9816">
      <w:pPr>
        <w:spacing w:line="580" w:lineRule="exact"/>
        <w:ind w:firstLine="560"/>
        <w:rPr>
          <w:rFonts w:hint="eastAsia" w:ascii="方正仿宋_GBK" w:hAnsi="方正仿宋_GBK" w:eastAsia="方正仿宋_GBK" w:cs="方正仿宋_GBK"/>
          <w:b/>
          <w:bCs/>
          <w:color w:val="000000"/>
          <w:sz w:val="32"/>
          <w:szCs w:val="32"/>
        </w:rPr>
      </w:pPr>
      <w:r>
        <w:rPr>
          <w:rFonts w:hint="eastAsia" w:ascii="Times New Roman" w:hAnsi="Times New Roman" w:eastAsia="方正仿宋_GBK"/>
          <w:b/>
          <w:bCs/>
          <w:color w:val="000000"/>
          <w:kern w:val="0"/>
          <w:sz w:val="32"/>
          <w:szCs w:val="32"/>
          <w:shd w:val="clear" w:color="auto" w:fill="FFFFFF"/>
          <w:lang w:bidi="ar"/>
        </w:rPr>
        <w:t>4.2</w:t>
      </w:r>
      <w:r>
        <w:rPr>
          <w:rFonts w:hint="eastAsia" w:ascii="方正仿宋_GBK" w:hAnsi="方正仿宋_GBK" w:eastAsia="方正仿宋_GBK" w:cs="方正仿宋_GBK"/>
          <w:b/>
          <w:bCs/>
          <w:color w:val="000000"/>
          <w:sz w:val="32"/>
          <w:szCs w:val="32"/>
        </w:rPr>
        <w:t>判定原则</w:t>
      </w:r>
    </w:p>
    <w:p w14:paraId="40D47093">
      <w:pPr>
        <w:spacing w:line="580" w:lineRule="exact"/>
        <w:ind w:firstLine="56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经检验，检验项目全部合格，判定为被抽查产品未发现不合格；检验项目中任一项或一项以上不合格，判定为被抽查产品不合格。</w:t>
      </w:r>
    </w:p>
    <w:p w14:paraId="241C809F">
      <w:pPr>
        <w:spacing w:line="580" w:lineRule="exact"/>
        <w:ind w:firstLine="56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若被检产品明示的质量要求高于本细则中检验项目依据的标准要求时，应按被检产品明示的质量要求判定。</w:t>
      </w:r>
    </w:p>
    <w:p w14:paraId="719E6281">
      <w:pPr>
        <w:spacing w:line="580" w:lineRule="exact"/>
        <w:ind w:firstLine="56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若被检产品明示的质量要求低于本细则中检验项目依据的强制性标准要求时，应按照强制性标准要求判定。</w:t>
      </w:r>
    </w:p>
    <w:p w14:paraId="6B26509D">
      <w:pPr>
        <w:spacing w:line="580" w:lineRule="exact"/>
        <w:ind w:firstLine="56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若被检产品明示的质量要求低于或包含细则中检验项目依据的推荐性标准要求时，应以被检产品明示的质量要求判定，但应在检验报告备注中进行说明。</w:t>
      </w:r>
    </w:p>
    <w:p w14:paraId="34A4846F">
      <w:pPr>
        <w:spacing w:line="580" w:lineRule="exact"/>
        <w:ind w:firstLine="56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若被检产品明示的质量要求缺少本细则中检验项目依据的强制性标准要求时，应按照强制性标准要求判定。</w:t>
      </w:r>
    </w:p>
    <w:p w14:paraId="47D8A1C2">
      <w:pPr>
        <w:spacing w:line="580"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若被检产品明示的质量要求缺少本细则中检验项目依据的推荐性标准要求时，该项目不参与判定，但应在检验报告备注中进行说明。</w:t>
      </w:r>
    </w:p>
    <w:p w14:paraId="40B7903E">
      <w:pPr>
        <w:spacing w:line="580" w:lineRule="exact"/>
        <w:ind w:firstLine="640" w:firstLineChars="200"/>
        <w:rPr>
          <w:rFonts w:hint="eastAsia" w:ascii="方正黑体_GBK" w:hAnsi="方正仿宋_GBK" w:eastAsia="方正黑体_GBK" w:cs="方正仿宋_GBK"/>
          <w:kern w:val="0"/>
          <w:sz w:val="32"/>
          <w:szCs w:val="32"/>
          <w:shd w:val="clear" w:color="auto" w:fill="FFFFFF"/>
          <w:lang w:bidi="ar"/>
        </w:rPr>
      </w:pPr>
      <w:r>
        <w:rPr>
          <w:rFonts w:hint="eastAsia" w:ascii="Times New Roman" w:hAnsi="Times New Roman" w:eastAsia="方正黑体_GBK"/>
          <w:kern w:val="0"/>
          <w:sz w:val="32"/>
          <w:szCs w:val="32"/>
          <w:shd w:val="clear" w:color="auto" w:fill="FFFFFF"/>
          <w:lang w:bidi="ar"/>
        </w:rPr>
        <w:t>5</w:t>
      </w:r>
      <w:r>
        <w:rPr>
          <w:rFonts w:ascii="Times New Roman" w:hAnsi="Times New Roman" w:eastAsia="方正黑体_GBK"/>
          <w:kern w:val="0"/>
          <w:sz w:val="32"/>
          <w:szCs w:val="32"/>
          <w:shd w:val="clear" w:color="auto" w:fill="FFFFFF"/>
          <w:lang w:bidi="ar"/>
        </w:rPr>
        <w:t>.</w:t>
      </w:r>
      <w:r>
        <w:rPr>
          <w:rFonts w:hint="eastAsia" w:ascii="方正黑体_GBK" w:hAnsi="方正仿宋_GBK" w:eastAsia="方正黑体_GBK" w:cs="方正仿宋_GBK"/>
          <w:kern w:val="0"/>
          <w:sz w:val="32"/>
          <w:szCs w:val="32"/>
          <w:shd w:val="clear" w:color="auto" w:fill="FFFFFF"/>
          <w:lang w:bidi="ar"/>
        </w:rPr>
        <w:t>异议处理</w:t>
      </w:r>
    </w:p>
    <w:p w14:paraId="6FEC377C">
      <w:pPr>
        <w:spacing w:line="580" w:lineRule="exact"/>
        <w:ind w:firstLine="640" w:firstLineChars="200"/>
        <w:rPr>
          <w:rFonts w:ascii="Times New Roman" w:hAnsi="Times New Roman" w:eastAsia="方正仿宋_GBK"/>
          <w:sz w:val="32"/>
          <w:szCs w:val="32"/>
        </w:rPr>
      </w:pPr>
      <w:r>
        <w:rPr>
          <w:rFonts w:hint="eastAsia" w:ascii="Times New Roman" w:hAnsi="Times New Roman" w:eastAsia="方正仿宋_GBK"/>
          <w:sz w:val="32"/>
          <w:szCs w:val="32"/>
        </w:rPr>
        <w:t>5.1</w:t>
      </w:r>
      <w:r>
        <w:rPr>
          <w:rFonts w:ascii="Times New Roman" w:hAnsi="Times New Roman" w:eastAsia="方正仿宋_GBK"/>
          <w:sz w:val="32"/>
          <w:szCs w:val="32"/>
        </w:rPr>
        <w:t>对监督抽查程序有异议的，由任务下达部门核查相关证据后维持或者撤销原检验结果</w:t>
      </w:r>
      <w:r>
        <w:rPr>
          <w:rFonts w:hint="eastAsia" w:ascii="Times New Roman" w:hAnsi="Times New Roman" w:eastAsia="方正仿宋_GBK"/>
          <w:sz w:val="32"/>
          <w:szCs w:val="32"/>
        </w:rPr>
        <w:t>。</w:t>
      </w:r>
    </w:p>
    <w:p w14:paraId="16137C00">
      <w:pPr>
        <w:spacing w:line="580" w:lineRule="exact"/>
        <w:ind w:firstLine="640" w:firstLineChars="200"/>
        <w:rPr>
          <w:rFonts w:ascii="Times New Roman" w:hAnsi="Times New Roman" w:eastAsia="方正仿宋_GBK"/>
          <w:sz w:val="32"/>
          <w:szCs w:val="32"/>
        </w:rPr>
      </w:pPr>
      <w:r>
        <w:rPr>
          <w:rFonts w:hint="eastAsia" w:ascii="Times New Roman" w:hAnsi="Times New Roman" w:eastAsia="方正仿宋_GBK"/>
          <w:sz w:val="32"/>
          <w:szCs w:val="32"/>
        </w:rPr>
        <w:t>5.2</w:t>
      </w:r>
      <w:r>
        <w:rPr>
          <w:rFonts w:ascii="Times New Roman" w:hAnsi="Times New Roman" w:eastAsia="方正仿宋_GBK"/>
          <w:sz w:val="32"/>
          <w:szCs w:val="32"/>
        </w:rPr>
        <w:t>对检验结果有异议的，任务下达部门核查相关证据，能够证明原检验结果准确的，维持原检验结果；不能证明原检验结果准确，需要进行复检的，由任务下达部门指定复检机构进行复检，复检结果为本次监督抽查最终结论。</w:t>
      </w:r>
    </w:p>
    <w:p w14:paraId="456E795E">
      <w:pPr>
        <w:spacing w:line="580" w:lineRule="exact"/>
        <w:ind w:firstLine="640" w:firstLineChars="200"/>
        <w:rPr>
          <w:rFonts w:ascii="Times New Roman" w:hAnsi="Times New Roman" w:eastAsia="方正仿宋_GBK"/>
          <w:sz w:val="32"/>
          <w:szCs w:val="32"/>
        </w:rPr>
      </w:pPr>
      <w:r>
        <w:rPr>
          <w:rFonts w:hint="eastAsia" w:ascii="Times New Roman" w:hAnsi="Times New Roman" w:eastAsia="方正仿宋_GBK"/>
          <w:sz w:val="32"/>
          <w:szCs w:val="32"/>
        </w:rPr>
        <w:t>5.3</w:t>
      </w:r>
      <w:r>
        <w:rPr>
          <w:rFonts w:ascii="Times New Roman" w:hAnsi="Times New Roman" w:eastAsia="方正仿宋_GBK"/>
          <w:sz w:val="32"/>
          <w:szCs w:val="32"/>
        </w:rPr>
        <w:t>对样品信息有异议的，任务下达部门核查样品确认情况和生产企业提交证明材料后，维持或者撤销原检验结果。</w:t>
      </w:r>
    </w:p>
    <w:p w14:paraId="35CF7293">
      <w:pPr>
        <w:spacing w:line="580" w:lineRule="exact"/>
        <w:rPr>
          <w:rFonts w:hint="eastAsia"/>
          <w:color w:val="FF0000"/>
        </w:rPr>
      </w:pPr>
    </w:p>
    <w:sectPr>
      <w:pgSz w:w="11906" w:h="16838"/>
      <w:pgMar w:top="1440" w:right="1463" w:bottom="1440" w:left="1519" w:header="851" w:footer="992"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BBE16A6C-CC33-4161-9DE8-F67BA5A50A44}"/>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2" w:fontKey="{22D45402-449F-4F34-8085-52E053CAB983}"/>
  </w:font>
  <w:font w:name="Cambria">
    <w:panose1 w:val="02040503050406030204"/>
    <w:charset w:val="00"/>
    <w:family w:val="roman"/>
    <w:pitch w:val="default"/>
    <w:sig w:usb0="E00006FF" w:usb1="420024FF" w:usb2="02000000" w:usb3="00000000" w:csb0="2000019F" w:csb1="00000000"/>
  </w:font>
  <w:font w:name="Verdana">
    <w:panose1 w:val="020B0604030504040204"/>
    <w:charset w:val="00"/>
    <w:family w:val="swiss"/>
    <w:pitch w:val="default"/>
    <w:sig w:usb0="A00006FF" w:usb1="4000205B" w:usb2="00000010" w:usb3="00000000" w:csb0="2000019F" w:csb1="00000000"/>
  </w:font>
  <w:font w:name="方正小标宋_GBK">
    <w:panose1 w:val="02000000000000000000"/>
    <w:charset w:val="86"/>
    <w:family w:val="auto"/>
    <w:pitch w:val="default"/>
    <w:sig w:usb0="A00002BF" w:usb1="38CF7CFA" w:usb2="00082016" w:usb3="00000000" w:csb0="00040001" w:csb1="00000000"/>
    <w:embedRegular r:id="rId3" w:fontKey="{4B2954C3-8F94-45F9-A350-0ABC358C8F71}"/>
  </w:font>
  <w:font w:name="方正黑体_GBK">
    <w:altName w:val="微软雅黑"/>
    <w:panose1 w:val="03000509000000000000"/>
    <w:charset w:val="86"/>
    <w:family w:val="script"/>
    <w:pitch w:val="default"/>
    <w:sig w:usb0="00000000" w:usb1="00000000" w:usb2="00000000" w:usb3="00000000" w:csb0="00040000" w:csb1="00000000"/>
    <w:embedRegular r:id="rId4" w:fontKey="{2B999C28-734B-420B-ADAD-0C0914E581E8}"/>
  </w:font>
  <w:font w:name="微软雅黑">
    <w:panose1 w:val="020B0503020204020204"/>
    <w:charset w:val="86"/>
    <w:family w:val="auto"/>
    <w:pitch w:val="default"/>
    <w:sig w:usb0="80000287" w:usb1="2ACF3C50" w:usb2="00000016" w:usb3="00000000" w:csb0="0004001F" w:csb1="00000000"/>
  </w:font>
  <w:font w:name="方正仿宋_GBK">
    <w:panose1 w:val="02000000000000000000"/>
    <w:charset w:val="86"/>
    <w:family w:val="script"/>
    <w:pitch w:val="default"/>
    <w:sig w:usb0="A00002BF" w:usb1="38CF7CFA" w:usb2="00082016" w:usb3="00000000" w:csb0="00040001" w:csb1="00000000"/>
    <w:embedRegular r:id="rId5" w:fontKey="{61E8555C-1B60-4B79-A854-1D84D20E50E1}"/>
  </w:font>
  <w:font w:name="仿宋_GB2312">
    <w:altName w:val="仿宋"/>
    <w:panose1 w:val="02010609030101010101"/>
    <w:charset w:val="86"/>
    <w:family w:val="modern"/>
    <w:pitch w:val="default"/>
    <w:sig w:usb0="00000000" w:usb1="00000000" w:usb2="00000000" w:usb3="00000000" w:csb0="00040000" w:csb1="00000000"/>
    <w:embedRegular r:id="rId6" w:fontKey="{FEF146C8-1B5F-4632-9238-750B31AD5CBF}"/>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6"/>
    <w:multiLevelType w:val="multilevel"/>
    <w:tmpl w:val="00000006"/>
    <w:lvl w:ilvl="0" w:tentative="0">
      <w:start w:val="1"/>
      <w:numFmt w:val="chineseCountingThousand"/>
      <w:suff w:val="nothing"/>
      <w:lvlText w:val="第%1章"/>
      <w:lvlJc w:val="left"/>
      <w:pPr>
        <w:ind w:left="-70"/>
      </w:pPr>
    </w:lvl>
    <w:lvl w:ilvl="1" w:tentative="0">
      <w:start w:val="1"/>
      <w:numFmt w:val="none"/>
      <w:suff w:val="nothing"/>
      <w:lvlText w:val=""/>
      <w:lvlJc w:val="left"/>
    </w:lvl>
    <w:lvl w:ilvl="2" w:tentative="0">
      <w:start w:val="1"/>
      <w:numFmt w:val="none"/>
      <w:suff w:val="nothing"/>
      <w:lvlText w:val=""/>
      <w:lvlJc w:val="left"/>
    </w:lvl>
    <w:lvl w:ilvl="3" w:tentative="0">
      <w:start w:val="1"/>
      <w:numFmt w:val="none"/>
      <w:pStyle w:val="4"/>
      <w:suff w:val="nothing"/>
      <w:lvlText w:val=""/>
      <w:lvlJc w:val="left"/>
    </w:lvl>
    <w:lvl w:ilvl="4" w:tentative="0">
      <w:start w:val="1"/>
      <w:numFmt w:val="none"/>
      <w:suff w:val="nothing"/>
      <w:lvlText w:val=""/>
      <w:lvlJc w:val="left"/>
    </w:lvl>
    <w:lvl w:ilvl="5" w:tentative="0">
      <w:start w:val="1"/>
      <w:numFmt w:val="none"/>
      <w:suff w:val="nothing"/>
      <w:lvlText w:val=""/>
      <w:lvlJc w:val="left"/>
    </w:lvl>
    <w:lvl w:ilvl="6" w:tentative="0">
      <w:start w:val="1"/>
      <w:numFmt w:val="none"/>
      <w:suff w:val="nothing"/>
      <w:lvlText w:val=""/>
      <w:lvlJc w:val="left"/>
    </w:lvl>
    <w:lvl w:ilvl="7" w:tentative="0">
      <w:start w:val="1"/>
      <w:numFmt w:val="none"/>
      <w:suff w:val="nothing"/>
      <w:lvlText w:val=""/>
      <w:lvlJc w:val="left"/>
    </w:lvl>
    <w:lvl w:ilvl="8" w:tentative="0">
      <w:start w:val="1"/>
      <w:numFmt w:val="none"/>
      <w:suff w:val="nothing"/>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TrueTypeFonts/>
  <w:saveSubset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kyNTk3MzdhZGNiMmRlZDk5MWYyZDVhMzgxYTgwMGEifQ=="/>
  </w:docVars>
  <w:rsids>
    <w:rsidRoot w:val="00B23319"/>
    <w:rsid w:val="0001130B"/>
    <w:rsid w:val="0002244E"/>
    <w:rsid w:val="00030067"/>
    <w:rsid w:val="00030FC7"/>
    <w:rsid w:val="00041807"/>
    <w:rsid w:val="0004210C"/>
    <w:rsid w:val="00046ACB"/>
    <w:rsid w:val="00054A03"/>
    <w:rsid w:val="000607FF"/>
    <w:rsid w:val="00062664"/>
    <w:rsid w:val="00063F1E"/>
    <w:rsid w:val="0006746D"/>
    <w:rsid w:val="00067F88"/>
    <w:rsid w:val="00072AAC"/>
    <w:rsid w:val="00076376"/>
    <w:rsid w:val="00086D33"/>
    <w:rsid w:val="00094AB9"/>
    <w:rsid w:val="000A01F1"/>
    <w:rsid w:val="000A22D6"/>
    <w:rsid w:val="000B45BF"/>
    <w:rsid w:val="000C46FA"/>
    <w:rsid w:val="000E28CD"/>
    <w:rsid w:val="000F0C7B"/>
    <w:rsid w:val="00127D80"/>
    <w:rsid w:val="00127E6B"/>
    <w:rsid w:val="00131787"/>
    <w:rsid w:val="001331D2"/>
    <w:rsid w:val="00134B9F"/>
    <w:rsid w:val="001361E2"/>
    <w:rsid w:val="00136EFA"/>
    <w:rsid w:val="00145921"/>
    <w:rsid w:val="00152358"/>
    <w:rsid w:val="0017102F"/>
    <w:rsid w:val="00172F78"/>
    <w:rsid w:val="00176623"/>
    <w:rsid w:val="0018019D"/>
    <w:rsid w:val="00184632"/>
    <w:rsid w:val="0019108D"/>
    <w:rsid w:val="00191944"/>
    <w:rsid w:val="00192377"/>
    <w:rsid w:val="001B5C4F"/>
    <w:rsid w:val="001D4265"/>
    <w:rsid w:val="001D573A"/>
    <w:rsid w:val="001E0CBE"/>
    <w:rsid w:val="001E2538"/>
    <w:rsid w:val="001E2957"/>
    <w:rsid w:val="00202098"/>
    <w:rsid w:val="00210E02"/>
    <w:rsid w:val="00211183"/>
    <w:rsid w:val="0021479A"/>
    <w:rsid w:val="00214889"/>
    <w:rsid w:val="002216BE"/>
    <w:rsid w:val="002316AD"/>
    <w:rsid w:val="002328AB"/>
    <w:rsid w:val="002426A3"/>
    <w:rsid w:val="0024334D"/>
    <w:rsid w:val="0025037B"/>
    <w:rsid w:val="00252341"/>
    <w:rsid w:val="0026236F"/>
    <w:rsid w:val="0026368E"/>
    <w:rsid w:val="00270494"/>
    <w:rsid w:val="00282FA6"/>
    <w:rsid w:val="0028328A"/>
    <w:rsid w:val="002B6690"/>
    <w:rsid w:val="002C194B"/>
    <w:rsid w:val="002C1983"/>
    <w:rsid w:val="002D171E"/>
    <w:rsid w:val="002D1E2B"/>
    <w:rsid w:val="002D4B27"/>
    <w:rsid w:val="0031024B"/>
    <w:rsid w:val="0031094B"/>
    <w:rsid w:val="00323B78"/>
    <w:rsid w:val="00330047"/>
    <w:rsid w:val="00335B99"/>
    <w:rsid w:val="00341E80"/>
    <w:rsid w:val="0035079C"/>
    <w:rsid w:val="003575C3"/>
    <w:rsid w:val="003656B5"/>
    <w:rsid w:val="00384FD0"/>
    <w:rsid w:val="00391F14"/>
    <w:rsid w:val="003936D8"/>
    <w:rsid w:val="003A2DF8"/>
    <w:rsid w:val="003A351C"/>
    <w:rsid w:val="003C1F18"/>
    <w:rsid w:val="003D28D3"/>
    <w:rsid w:val="003F3213"/>
    <w:rsid w:val="003F7F67"/>
    <w:rsid w:val="00434879"/>
    <w:rsid w:val="00436027"/>
    <w:rsid w:val="00446525"/>
    <w:rsid w:val="0045292F"/>
    <w:rsid w:val="00452A6F"/>
    <w:rsid w:val="004550E4"/>
    <w:rsid w:val="004574F0"/>
    <w:rsid w:val="00457CB9"/>
    <w:rsid w:val="00460692"/>
    <w:rsid w:val="004638DB"/>
    <w:rsid w:val="00466033"/>
    <w:rsid w:val="00482674"/>
    <w:rsid w:val="00486BD9"/>
    <w:rsid w:val="00486F04"/>
    <w:rsid w:val="004907A3"/>
    <w:rsid w:val="004A3289"/>
    <w:rsid w:val="004C1FB2"/>
    <w:rsid w:val="004D2E64"/>
    <w:rsid w:val="00516AF9"/>
    <w:rsid w:val="00521A71"/>
    <w:rsid w:val="00525B6D"/>
    <w:rsid w:val="00532175"/>
    <w:rsid w:val="00537C80"/>
    <w:rsid w:val="00552CE9"/>
    <w:rsid w:val="00553599"/>
    <w:rsid w:val="00557E0B"/>
    <w:rsid w:val="00567E85"/>
    <w:rsid w:val="005758F0"/>
    <w:rsid w:val="00580258"/>
    <w:rsid w:val="00581383"/>
    <w:rsid w:val="00592F1E"/>
    <w:rsid w:val="005953F6"/>
    <w:rsid w:val="005A3B63"/>
    <w:rsid w:val="005B4050"/>
    <w:rsid w:val="005C0BFD"/>
    <w:rsid w:val="005E06BA"/>
    <w:rsid w:val="005E3523"/>
    <w:rsid w:val="005E4D8D"/>
    <w:rsid w:val="00602BFE"/>
    <w:rsid w:val="00610A6A"/>
    <w:rsid w:val="0061344B"/>
    <w:rsid w:val="00626AD4"/>
    <w:rsid w:val="006361EE"/>
    <w:rsid w:val="00640709"/>
    <w:rsid w:val="00651C73"/>
    <w:rsid w:val="006538E9"/>
    <w:rsid w:val="0067557E"/>
    <w:rsid w:val="006812CD"/>
    <w:rsid w:val="00685DA2"/>
    <w:rsid w:val="0068716B"/>
    <w:rsid w:val="006A2161"/>
    <w:rsid w:val="006A6E27"/>
    <w:rsid w:val="006A7525"/>
    <w:rsid w:val="006B7F21"/>
    <w:rsid w:val="006C019C"/>
    <w:rsid w:val="006D4694"/>
    <w:rsid w:val="006D60CF"/>
    <w:rsid w:val="006E1245"/>
    <w:rsid w:val="006F6A29"/>
    <w:rsid w:val="006F7E16"/>
    <w:rsid w:val="0070590B"/>
    <w:rsid w:val="0070673A"/>
    <w:rsid w:val="0071192F"/>
    <w:rsid w:val="00713D13"/>
    <w:rsid w:val="00714032"/>
    <w:rsid w:val="007225D8"/>
    <w:rsid w:val="00723BDE"/>
    <w:rsid w:val="00737577"/>
    <w:rsid w:val="00747916"/>
    <w:rsid w:val="007812FC"/>
    <w:rsid w:val="00781A96"/>
    <w:rsid w:val="007916D5"/>
    <w:rsid w:val="00791FF2"/>
    <w:rsid w:val="007A2F04"/>
    <w:rsid w:val="007A3D31"/>
    <w:rsid w:val="007C2D64"/>
    <w:rsid w:val="007D0F61"/>
    <w:rsid w:val="007D59FD"/>
    <w:rsid w:val="007D6664"/>
    <w:rsid w:val="007E30C2"/>
    <w:rsid w:val="007F544A"/>
    <w:rsid w:val="008175E3"/>
    <w:rsid w:val="00825D64"/>
    <w:rsid w:val="00827D95"/>
    <w:rsid w:val="00836118"/>
    <w:rsid w:val="00837AFB"/>
    <w:rsid w:val="00845D00"/>
    <w:rsid w:val="0085178A"/>
    <w:rsid w:val="00873CEB"/>
    <w:rsid w:val="008767BE"/>
    <w:rsid w:val="00885003"/>
    <w:rsid w:val="00887355"/>
    <w:rsid w:val="00894EC2"/>
    <w:rsid w:val="0089545E"/>
    <w:rsid w:val="008976ED"/>
    <w:rsid w:val="008C62D3"/>
    <w:rsid w:val="008D0104"/>
    <w:rsid w:val="008E0704"/>
    <w:rsid w:val="008E788F"/>
    <w:rsid w:val="0090547C"/>
    <w:rsid w:val="00906501"/>
    <w:rsid w:val="00911B05"/>
    <w:rsid w:val="009309F7"/>
    <w:rsid w:val="009327B9"/>
    <w:rsid w:val="00941390"/>
    <w:rsid w:val="0094619E"/>
    <w:rsid w:val="00946DA2"/>
    <w:rsid w:val="00950A37"/>
    <w:rsid w:val="00956C7E"/>
    <w:rsid w:val="0095704C"/>
    <w:rsid w:val="00960C2C"/>
    <w:rsid w:val="00961FB4"/>
    <w:rsid w:val="009622EA"/>
    <w:rsid w:val="009700DE"/>
    <w:rsid w:val="00971D5E"/>
    <w:rsid w:val="009803A1"/>
    <w:rsid w:val="00981501"/>
    <w:rsid w:val="0098489E"/>
    <w:rsid w:val="00986116"/>
    <w:rsid w:val="009945AB"/>
    <w:rsid w:val="00996C6C"/>
    <w:rsid w:val="009A4B42"/>
    <w:rsid w:val="009A51EE"/>
    <w:rsid w:val="009B281B"/>
    <w:rsid w:val="009B30EB"/>
    <w:rsid w:val="009D04F0"/>
    <w:rsid w:val="009D1F66"/>
    <w:rsid w:val="009D4C29"/>
    <w:rsid w:val="009E13EF"/>
    <w:rsid w:val="009F570E"/>
    <w:rsid w:val="00A00C69"/>
    <w:rsid w:val="00A23E55"/>
    <w:rsid w:val="00A40F2C"/>
    <w:rsid w:val="00A5051A"/>
    <w:rsid w:val="00A81E4D"/>
    <w:rsid w:val="00A85146"/>
    <w:rsid w:val="00A91BE3"/>
    <w:rsid w:val="00AA61A4"/>
    <w:rsid w:val="00AB2A2A"/>
    <w:rsid w:val="00AB4E2D"/>
    <w:rsid w:val="00AB75DF"/>
    <w:rsid w:val="00AD05AC"/>
    <w:rsid w:val="00AD76F5"/>
    <w:rsid w:val="00AE1EFC"/>
    <w:rsid w:val="00AE32F2"/>
    <w:rsid w:val="00AF64D5"/>
    <w:rsid w:val="00B061D5"/>
    <w:rsid w:val="00B11192"/>
    <w:rsid w:val="00B143B9"/>
    <w:rsid w:val="00B148B2"/>
    <w:rsid w:val="00B20E1F"/>
    <w:rsid w:val="00B23319"/>
    <w:rsid w:val="00B35AFF"/>
    <w:rsid w:val="00B41EE8"/>
    <w:rsid w:val="00B43E44"/>
    <w:rsid w:val="00B4594E"/>
    <w:rsid w:val="00B6292E"/>
    <w:rsid w:val="00B63EDE"/>
    <w:rsid w:val="00B75878"/>
    <w:rsid w:val="00B8300A"/>
    <w:rsid w:val="00B970C1"/>
    <w:rsid w:val="00B978B8"/>
    <w:rsid w:val="00BC0D6A"/>
    <w:rsid w:val="00BD57C2"/>
    <w:rsid w:val="00BE4300"/>
    <w:rsid w:val="00BF6E4B"/>
    <w:rsid w:val="00C10D63"/>
    <w:rsid w:val="00C152A4"/>
    <w:rsid w:val="00C2380B"/>
    <w:rsid w:val="00C26DF9"/>
    <w:rsid w:val="00C32493"/>
    <w:rsid w:val="00C5064B"/>
    <w:rsid w:val="00C56445"/>
    <w:rsid w:val="00C606CA"/>
    <w:rsid w:val="00C630B8"/>
    <w:rsid w:val="00C65F3B"/>
    <w:rsid w:val="00C6632F"/>
    <w:rsid w:val="00C66E77"/>
    <w:rsid w:val="00C729E0"/>
    <w:rsid w:val="00C81BDA"/>
    <w:rsid w:val="00C86069"/>
    <w:rsid w:val="00C87AA0"/>
    <w:rsid w:val="00C9481E"/>
    <w:rsid w:val="00CA2460"/>
    <w:rsid w:val="00CA5F16"/>
    <w:rsid w:val="00CB1737"/>
    <w:rsid w:val="00CC4233"/>
    <w:rsid w:val="00CC4784"/>
    <w:rsid w:val="00CC6522"/>
    <w:rsid w:val="00CE391D"/>
    <w:rsid w:val="00CE6DB4"/>
    <w:rsid w:val="00D01FC2"/>
    <w:rsid w:val="00D06BC8"/>
    <w:rsid w:val="00D10F37"/>
    <w:rsid w:val="00D34E28"/>
    <w:rsid w:val="00D351FB"/>
    <w:rsid w:val="00D35ED2"/>
    <w:rsid w:val="00D367BD"/>
    <w:rsid w:val="00D43255"/>
    <w:rsid w:val="00D5292A"/>
    <w:rsid w:val="00D536EB"/>
    <w:rsid w:val="00D624F0"/>
    <w:rsid w:val="00D71785"/>
    <w:rsid w:val="00D74CD7"/>
    <w:rsid w:val="00DA6AE4"/>
    <w:rsid w:val="00E20638"/>
    <w:rsid w:val="00E20692"/>
    <w:rsid w:val="00E23FB4"/>
    <w:rsid w:val="00E272CE"/>
    <w:rsid w:val="00E30472"/>
    <w:rsid w:val="00E518C3"/>
    <w:rsid w:val="00E53A97"/>
    <w:rsid w:val="00E54496"/>
    <w:rsid w:val="00E74E6E"/>
    <w:rsid w:val="00E8032B"/>
    <w:rsid w:val="00E83123"/>
    <w:rsid w:val="00E93A64"/>
    <w:rsid w:val="00E96E83"/>
    <w:rsid w:val="00EA13D3"/>
    <w:rsid w:val="00EB00C7"/>
    <w:rsid w:val="00EE2AA1"/>
    <w:rsid w:val="00EF5F33"/>
    <w:rsid w:val="00F10DCD"/>
    <w:rsid w:val="00F14F1F"/>
    <w:rsid w:val="00F16DF8"/>
    <w:rsid w:val="00F20A60"/>
    <w:rsid w:val="00F21761"/>
    <w:rsid w:val="00F24352"/>
    <w:rsid w:val="00F269EA"/>
    <w:rsid w:val="00F71EF0"/>
    <w:rsid w:val="00F964CB"/>
    <w:rsid w:val="00FA1644"/>
    <w:rsid w:val="00FB4044"/>
    <w:rsid w:val="00FB491F"/>
    <w:rsid w:val="00FB4A92"/>
    <w:rsid w:val="00FB76A5"/>
    <w:rsid w:val="00FC55FE"/>
    <w:rsid w:val="00FC5A64"/>
    <w:rsid w:val="00FD5FFF"/>
    <w:rsid w:val="00FE12A1"/>
    <w:rsid w:val="00FF0ECF"/>
    <w:rsid w:val="00FF2EF5"/>
    <w:rsid w:val="00FF6D5D"/>
    <w:rsid w:val="016533AB"/>
    <w:rsid w:val="0169025B"/>
    <w:rsid w:val="017066A4"/>
    <w:rsid w:val="01AF66F5"/>
    <w:rsid w:val="01D733CC"/>
    <w:rsid w:val="01ED3C51"/>
    <w:rsid w:val="020A50C9"/>
    <w:rsid w:val="02693A80"/>
    <w:rsid w:val="029D62C0"/>
    <w:rsid w:val="02B37899"/>
    <w:rsid w:val="02BB77E4"/>
    <w:rsid w:val="03776577"/>
    <w:rsid w:val="04205B7A"/>
    <w:rsid w:val="04C6640E"/>
    <w:rsid w:val="04D943E8"/>
    <w:rsid w:val="04E162DB"/>
    <w:rsid w:val="056836DC"/>
    <w:rsid w:val="056B55C9"/>
    <w:rsid w:val="057847EE"/>
    <w:rsid w:val="065C6843"/>
    <w:rsid w:val="06DA5E26"/>
    <w:rsid w:val="06E905CD"/>
    <w:rsid w:val="07103966"/>
    <w:rsid w:val="07AB790A"/>
    <w:rsid w:val="0806125E"/>
    <w:rsid w:val="08414162"/>
    <w:rsid w:val="095538B5"/>
    <w:rsid w:val="09A35B68"/>
    <w:rsid w:val="0A0D1476"/>
    <w:rsid w:val="0A721AE4"/>
    <w:rsid w:val="0A880976"/>
    <w:rsid w:val="0AB55C23"/>
    <w:rsid w:val="0B0D6838"/>
    <w:rsid w:val="0B526A3D"/>
    <w:rsid w:val="0B7E71B5"/>
    <w:rsid w:val="0B7E733B"/>
    <w:rsid w:val="0BB258C6"/>
    <w:rsid w:val="0C300AF9"/>
    <w:rsid w:val="0DCD2DC7"/>
    <w:rsid w:val="0E916078"/>
    <w:rsid w:val="0EDD5800"/>
    <w:rsid w:val="0EFB6091"/>
    <w:rsid w:val="10356DF2"/>
    <w:rsid w:val="108D33E7"/>
    <w:rsid w:val="10EE044E"/>
    <w:rsid w:val="11A05BB5"/>
    <w:rsid w:val="11CA7BFF"/>
    <w:rsid w:val="12197CB0"/>
    <w:rsid w:val="121B5F5C"/>
    <w:rsid w:val="12480A15"/>
    <w:rsid w:val="12815130"/>
    <w:rsid w:val="12F93CA3"/>
    <w:rsid w:val="130D213D"/>
    <w:rsid w:val="137A6790"/>
    <w:rsid w:val="13BB0BE6"/>
    <w:rsid w:val="14987A16"/>
    <w:rsid w:val="149B6BF0"/>
    <w:rsid w:val="14E1570A"/>
    <w:rsid w:val="15705885"/>
    <w:rsid w:val="15A93B45"/>
    <w:rsid w:val="1670520E"/>
    <w:rsid w:val="16F11C88"/>
    <w:rsid w:val="175235C0"/>
    <w:rsid w:val="183660B4"/>
    <w:rsid w:val="18856C25"/>
    <w:rsid w:val="19E21628"/>
    <w:rsid w:val="1A7A7A29"/>
    <w:rsid w:val="1A7B7DF9"/>
    <w:rsid w:val="1B7E5CCF"/>
    <w:rsid w:val="1B925356"/>
    <w:rsid w:val="1B9B174A"/>
    <w:rsid w:val="1BD20A61"/>
    <w:rsid w:val="1BEA72FD"/>
    <w:rsid w:val="1C0F7B0E"/>
    <w:rsid w:val="1C2472F6"/>
    <w:rsid w:val="1C2B02C8"/>
    <w:rsid w:val="1C5965DD"/>
    <w:rsid w:val="1DC51EE2"/>
    <w:rsid w:val="1DF42E4D"/>
    <w:rsid w:val="1E993A75"/>
    <w:rsid w:val="1EA76EE9"/>
    <w:rsid w:val="1EF062B0"/>
    <w:rsid w:val="1F62074F"/>
    <w:rsid w:val="1F9066AC"/>
    <w:rsid w:val="1FD1349E"/>
    <w:rsid w:val="205356FA"/>
    <w:rsid w:val="20717A70"/>
    <w:rsid w:val="20D32E77"/>
    <w:rsid w:val="21014B41"/>
    <w:rsid w:val="2128584D"/>
    <w:rsid w:val="216270A9"/>
    <w:rsid w:val="21B324AE"/>
    <w:rsid w:val="21E41646"/>
    <w:rsid w:val="229175B6"/>
    <w:rsid w:val="22947508"/>
    <w:rsid w:val="22F96045"/>
    <w:rsid w:val="235B4756"/>
    <w:rsid w:val="236524D0"/>
    <w:rsid w:val="23980AFE"/>
    <w:rsid w:val="23E95402"/>
    <w:rsid w:val="24093F8D"/>
    <w:rsid w:val="2419770F"/>
    <w:rsid w:val="24850715"/>
    <w:rsid w:val="24CC3C09"/>
    <w:rsid w:val="25420AA1"/>
    <w:rsid w:val="256C7940"/>
    <w:rsid w:val="25D15342"/>
    <w:rsid w:val="26276F08"/>
    <w:rsid w:val="26556C3D"/>
    <w:rsid w:val="268C140C"/>
    <w:rsid w:val="26923991"/>
    <w:rsid w:val="26994EF2"/>
    <w:rsid w:val="26F04C32"/>
    <w:rsid w:val="27CB6FE1"/>
    <w:rsid w:val="27F67D1D"/>
    <w:rsid w:val="27FF7565"/>
    <w:rsid w:val="28275430"/>
    <w:rsid w:val="28727364"/>
    <w:rsid w:val="28FC6790"/>
    <w:rsid w:val="2900197C"/>
    <w:rsid w:val="296C191D"/>
    <w:rsid w:val="29796611"/>
    <w:rsid w:val="2ADC0CAD"/>
    <w:rsid w:val="2B47788F"/>
    <w:rsid w:val="2BCB1A43"/>
    <w:rsid w:val="2CA46BD9"/>
    <w:rsid w:val="2CC626B6"/>
    <w:rsid w:val="2CE10710"/>
    <w:rsid w:val="2CE85F5A"/>
    <w:rsid w:val="2D7E3D18"/>
    <w:rsid w:val="2DDD3326"/>
    <w:rsid w:val="2F3373B5"/>
    <w:rsid w:val="2F45627A"/>
    <w:rsid w:val="2F6949FE"/>
    <w:rsid w:val="2FB87DE1"/>
    <w:rsid w:val="2FEC59DE"/>
    <w:rsid w:val="303A6BC9"/>
    <w:rsid w:val="306F19AF"/>
    <w:rsid w:val="31607A94"/>
    <w:rsid w:val="31C50242"/>
    <w:rsid w:val="325469A5"/>
    <w:rsid w:val="326B5648"/>
    <w:rsid w:val="32975988"/>
    <w:rsid w:val="32C41D3A"/>
    <w:rsid w:val="32F44C3D"/>
    <w:rsid w:val="330F5710"/>
    <w:rsid w:val="34922D3A"/>
    <w:rsid w:val="34D668DD"/>
    <w:rsid w:val="351221EF"/>
    <w:rsid w:val="354B0A39"/>
    <w:rsid w:val="35640483"/>
    <w:rsid w:val="3576772B"/>
    <w:rsid w:val="35CB55CA"/>
    <w:rsid w:val="35D858AF"/>
    <w:rsid w:val="35DF2F12"/>
    <w:rsid w:val="36536EAE"/>
    <w:rsid w:val="36543527"/>
    <w:rsid w:val="37DF02C6"/>
    <w:rsid w:val="383F0E1F"/>
    <w:rsid w:val="387D660E"/>
    <w:rsid w:val="388D05E7"/>
    <w:rsid w:val="39613CE9"/>
    <w:rsid w:val="39ED4E5D"/>
    <w:rsid w:val="3A00193B"/>
    <w:rsid w:val="3A5D6FC0"/>
    <w:rsid w:val="3A6173C2"/>
    <w:rsid w:val="3A625D70"/>
    <w:rsid w:val="3AAC01AC"/>
    <w:rsid w:val="3B0A72A6"/>
    <w:rsid w:val="3B8B0275"/>
    <w:rsid w:val="3BAA1AEF"/>
    <w:rsid w:val="3C563907"/>
    <w:rsid w:val="3C927782"/>
    <w:rsid w:val="3CDB3B76"/>
    <w:rsid w:val="3CE339D8"/>
    <w:rsid w:val="3D18652D"/>
    <w:rsid w:val="3D994A3B"/>
    <w:rsid w:val="3DB84502"/>
    <w:rsid w:val="3E8D1E58"/>
    <w:rsid w:val="3EA7114B"/>
    <w:rsid w:val="3EFA3D39"/>
    <w:rsid w:val="3F2C269F"/>
    <w:rsid w:val="3F2D41C8"/>
    <w:rsid w:val="3F62719B"/>
    <w:rsid w:val="3FCD1079"/>
    <w:rsid w:val="41007258"/>
    <w:rsid w:val="414016F7"/>
    <w:rsid w:val="416D009A"/>
    <w:rsid w:val="41C2308A"/>
    <w:rsid w:val="42AC12DF"/>
    <w:rsid w:val="4403385A"/>
    <w:rsid w:val="4687279B"/>
    <w:rsid w:val="48863E0A"/>
    <w:rsid w:val="490833CF"/>
    <w:rsid w:val="49704E95"/>
    <w:rsid w:val="49D4419C"/>
    <w:rsid w:val="49F77EC3"/>
    <w:rsid w:val="4A061877"/>
    <w:rsid w:val="4A7529A2"/>
    <w:rsid w:val="4AE616BD"/>
    <w:rsid w:val="4AFB0A4E"/>
    <w:rsid w:val="4C471AF3"/>
    <w:rsid w:val="4C9E737C"/>
    <w:rsid w:val="4D07469E"/>
    <w:rsid w:val="4D461029"/>
    <w:rsid w:val="4D871B90"/>
    <w:rsid w:val="4DE67177"/>
    <w:rsid w:val="4E104C11"/>
    <w:rsid w:val="4E2A06D6"/>
    <w:rsid w:val="4E342AE4"/>
    <w:rsid w:val="4E49147A"/>
    <w:rsid w:val="4F1C522C"/>
    <w:rsid w:val="4F5B745A"/>
    <w:rsid w:val="4F973E7F"/>
    <w:rsid w:val="509F6F98"/>
    <w:rsid w:val="50B15F4E"/>
    <w:rsid w:val="51791AA0"/>
    <w:rsid w:val="51975186"/>
    <w:rsid w:val="5217107E"/>
    <w:rsid w:val="524F3FFB"/>
    <w:rsid w:val="52816145"/>
    <w:rsid w:val="528C7FEF"/>
    <w:rsid w:val="53354E63"/>
    <w:rsid w:val="538F1A33"/>
    <w:rsid w:val="539861E6"/>
    <w:rsid w:val="53B31126"/>
    <w:rsid w:val="542D7F38"/>
    <w:rsid w:val="54633D11"/>
    <w:rsid w:val="54661FE4"/>
    <w:rsid w:val="55142EB5"/>
    <w:rsid w:val="56FB1310"/>
    <w:rsid w:val="57F36F9A"/>
    <w:rsid w:val="58243433"/>
    <w:rsid w:val="5834492C"/>
    <w:rsid w:val="583771DE"/>
    <w:rsid w:val="584F71F1"/>
    <w:rsid w:val="58B84658"/>
    <w:rsid w:val="590234F2"/>
    <w:rsid w:val="594A04F0"/>
    <w:rsid w:val="597A213B"/>
    <w:rsid w:val="59920975"/>
    <w:rsid w:val="59B3074A"/>
    <w:rsid w:val="59BB4699"/>
    <w:rsid w:val="59DA01DC"/>
    <w:rsid w:val="5A283D64"/>
    <w:rsid w:val="5A4022F8"/>
    <w:rsid w:val="5AFA12CC"/>
    <w:rsid w:val="5B0603A1"/>
    <w:rsid w:val="5B775815"/>
    <w:rsid w:val="5BA839DF"/>
    <w:rsid w:val="5BC83D82"/>
    <w:rsid w:val="5C1C6367"/>
    <w:rsid w:val="5C6C2081"/>
    <w:rsid w:val="5C913A01"/>
    <w:rsid w:val="5CE9053B"/>
    <w:rsid w:val="5E3A104D"/>
    <w:rsid w:val="5E74240F"/>
    <w:rsid w:val="5E904A7B"/>
    <w:rsid w:val="5F092E3E"/>
    <w:rsid w:val="60582906"/>
    <w:rsid w:val="607D3E4C"/>
    <w:rsid w:val="608D41D9"/>
    <w:rsid w:val="60C33095"/>
    <w:rsid w:val="610153A1"/>
    <w:rsid w:val="6185683E"/>
    <w:rsid w:val="62563D7B"/>
    <w:rsid w:val="62A95C9C"/>
    <w:rsid w:val="63021BA8"/>
    <w:rsid w:val="63074E55"/>
    <w:rsid w:val="630A243D"/>
    <w:rsid w:val="640E4E21"/>
    <w:rsid w:val="642D5E74"/>
    <w:rsid w:val="647C2EF6"/>
    <w:rsid w:val="648A7D50"/>
    <w:rsid w:val="648F40E9"/>
    <w:rsid w:val="64BB14E6"/>
    <w:rsid w:val="64C47C99"/>
    <w:rsid w:val="64D97F88"/>
    <w:rsid w:val="65682C45"/>
    <w:rsid w:val="65846AED"/>
    <w:rsid w:val="65E372CD"/>
    <w:rsid w:val="66277C26"/>
    <w:rsid w:val="66294AE5"/>
    <w:rsid w:val="66DF335B"/>
    <w:rsid w:val="68906B4E"/>
    <w:rsid w:val="68A9143F"/>
    <w:rsid w:val="698E36B9"/>
    <w:rsid w:val="69A77B97"/>
    <w:rsid w:val="69B707BE"/>
    <w:rsid w:val="69C51212"/>
    <w:rsid w:val="6A08309F"/>
    <w:rsid w:val="6A6B6D42"/>
    <w:rsid w:val="6A83224A"/>
    <w:rsid w:val="6AB447A0"/>
    <w:rsid w:val="6AC6674A"/>
    <w:rsid w:val="6B1D2762"/>
    <w:rsid w:val="6BF41341"/>
    <w:rsid w:val="6C5A1A1E"/>
    <w:rsid w:val="6CC51FBB"/>
    <w:rsid w:val="6CF4451F"/>
    <w:rsid w:val="6D350EDC"/>
    <w:rsid w:val="6D7672B6"/>
    <w:rsid w:val="6DA325F9"/>
    <w:rsid w:val="6DCD6F07"/>
    <w:rsid w:val="6E2B0937"/>
    <w:rsid w:val="6F075254"/>
    <w:rsid w:val="6F554AEA"/>
    <w:rsid w:val="6F9540E9"/>
    <w:rsid w:val="6FF769AA"/>
    <w:rsid w:val="701B1493"/>
    <w:rsid w:val="705F69D3"/>
    <w:rsid w:val="7067206D"/>
    <w:rsid w:val="714535C5"/>
    <w:rsid w:val="71FC0FB1"/>
    <w:rsid w:val="72616F80"/>
    <w:rsid w:val="728174D8"/>
    <w:rsid w:val="72F2089E"/>
    <w:rsid w:val="734350A8"/>
    <w:rsid w:val="735B235F"/>
    <w:rsid w:val="73B44D96"/>
    <w:rsid w:val="745463AC"/>
    <w:rsid w:val="75430823"/>
    <w:rsid w:val="7567100D"/>
    <w:rsid w:val="760C033F"/>
    <w:rsid w:val="76131F66"/>
    <w:rsid w:val="76264BB4"/>
    <w:rsid w:val="762C03C6"/>
    <w:rsid w:val="77573C5D"/>
    <w:rsid w:val="77604877"/>
    <w:rsid w:val="778D6ACB"/>
    <w:rsid w:val="781F55FF"/>
    <w:rsid w:val="78760398"/>
    <w:rsid w:val="78A01947"/>
    <w:rsid w:val="79237CCE"/>
    <w:rsid w:val="79AD038B"/>
    <w:rsid w:val="7A347F71"/>
    <w:rsid w:val="7A6A64EE"/>
    <w:rsid w:val="7B5A783B"/>
    <w:rsid w:val="7B932823"/>
    <w:rsid w:val="7B9A28A2"/>
    <w:rsid w:val="7BF02378"/>
    <w:rsid w:val="7C0D1FF9"/>
    <w:rsid w:val="7CC5504D"/>
    <w:rsid w:val="7D0E5AA8"/>
    <w:rsid w:val="7D395B88"/>
    <w:rsid w:val="7D527565"/>
    <w:rsid w:val="7E11763D"/>
    <w:rsid w:val="7E657E86"/>
    <w:rsid w:val="7EDE3ED2"/>
    <w:rsid w:val="7F030C71"/>
    <w:rsid w:val="7F206281"/>
    <w:rsid w:val="7F3942E4"/>
    <w:rsid w:val="7FAF531C"/>
    <w:rsid w:val="7FEF249F"/>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4">
    <w:name w:val="heading 4"/>
    <w:basedOn w:val="1"/>
    <w:next w:val="1"/>
    <w:qFormat/>
    <w:uiPriority w:val="0"/>
    <w:pPr>
      <w:keepNext/>
      <w:keepLines/>
      <w:numPr>
        <w:ilvl w:val="3"/>
        <w:numId w:val="1"/>
      </w:numPr>
      <w:spacing w:before="280" w:after="290" w:line="376" w:lineRule="auto"/>
      <w:outlineLvl w:val="3"/>
    </w:pPr>
    <w:rPr>
      <w:rFonts w:ascii="Cambria" w:hAnsi="Cambria" w:cs="Cambria"/>
      <w:b/>
      <w:bCs/>
      <w:sz w:val="28"/>
      <w:szCs w:val="28"/>
    </w:rPr>
  </w:style>
  <w:style w:type="character" w:default="1" w:styleId="12">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Body Text Indent"/>
    <w:basedOn w:val="1"/>
    <w:next w:val="3"/>
    <w:qFormat/>
    <w:uiPriority w:val="0"/>
    <w:pPr>
      <w:snapToGrid w:val="0"/>
      <w:spacing w:line="360" w:lineRule="auto"/>
      <w:ind w:firstLine="700" w:firstLineChars="250"/>
    </w:pPr>
    <w:rPr>
      <w:color w:val="000000"/>
      <w:kern w:val="0"/>
      <w:sz w:val="28"/>
      <w:szCs w:val="32"/>
    </w:rPr>
  </w:style>
  <w:style w:type="paragraph" w:styleId="3">
    <w:name w:val="envelope return"/>
    <w:basedOn w:val="1"/>
    <w:qFormat/>
    <w:uiPriority w:val="0"/>
    <w:rPr>
      <w:rFonts w:ascii="Arial" w:hAnsi="Arial"/>
    </w:rPr>
  </w:style>
  <w:style w:type="paragraph" w:styleId="5">
    <w:name w:val="annotation text"/>
    <w:basedOn w:val="1"/>
    <w:qFormat/>
    <w:uiPriority w:val="0"/>
    <w:pPr>
      <w:jc w:val="left"/>
    </w:pPr>
  </w:style>
  <w:style w:type="paragraph" w:styleId="6">
    <w:name w:val="Balloon Text"/>
    <w:basedOn w:val="1"/>
    <w:link w:val="16"/>
    <w:qFormat/>
    <w:uiPriority w:val="0"/>
    <w:rPr>
      <w:sz w:val="18"/>
      <w:szCs w:val="18"/>
    </w:rPr>
  </w:style>
  <w:style w:type="paragraph" w:styleId="7">
    <w:name w:val="footer"/>
    <w:basedOn w:val="1"/>
    <w:qFormat/>
    <w:uiPriority w:val="0"/>
    <w:pPr>
      <w:tabs>
        <w:tab w:val="center" w:pos="4153"/>
        <w:tab w:val="right" w:pos="8306"/>
      </w:tabs>
      <w:snapToGrid w:val="0"/>
      <w:jc w:val="left"/>
    </w:pPr>
    <w:rPr>
      <w:sz w:val="18"/>
      <w:szCs w:val="18"/>
    </w:rPr>
  </w:style>
  <w:style w:type="paragraph" w:styleId="8">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9">
    <w:name w:val="Normal (Web)"/>
    <w:basedOn w:val="1"/>
    <w:qFormat/>
    <w:uiPriority w:val="0"/>
    <w:pPr>
      <w:spacing w:before="100" w:beforeAutospacing="1" w:after="100" w:afterAutospacing="1"/>
      <w:ind w:left="0" w:right="0"/>
      <w:jc w:val="left"/>
    </w:pPr>
    <w:rPr>
      <w:kern w:val="0"/>
      <w:sz w:val="24"/>
      <w:lang w:val="en-US" w:eastAsia="zh-CN" w:bidi="ar"/>
    </w:r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page number"/>
    <w:basedOn w:val="12"/>
    <w:qFormat/>
    <w:uiPriority w:val="0"/>
  </w:style>
  <w:style w:type="character" w:styleId="14">
    <w:name w:val="FollowedHyperlink"/>
    <w:basedOn w:val="12"/>
    <w:qFormat/>
    <w:uiPriority w:val="0"/>
    <w:rPr>
      <w:color w:val="00A7D8"/>
      <w:u w:val="none"/>
    </w:rPr>
  </w:style>
  <w:style w:type="character" w:styleId="15">
    <w:name w:val="Hyperlink"/>
    <w:basedOn w:val="12"/>
    <w:qFormat/>
    <w:uiPriority w:val="0"/>
    <w:rPr>
      <w:color w:val="444444"/>
      <w:u w:val="none"/>
    </w:rPr>
  </w:style>
  <w:style w:type="character" w:customStyle="1" w:styleId="16">
    <w:name w:val="批注框文本 Char"/>
    <w:link w:val="6"/>
    <w:qFormat/>
    <w:uiPriority w:val="0"/>
    <w:rPr>
      <w:kern w:val="2"/>
      <w:sz w:val="18"/>
      <w:szCs w:val="18"/>
    </w:rPr>
  </w:style>
  <w:style w:type="paragraph" w:customStyle="1" w:styleId="17">
    <w:name w:val="Char"/>
    <w:basedOn w:val="1"/>
    <w:qFormat/>
    <w:uiPriority w:val="0"/>
    <w:pPr>
      <w:widowControl/>
      <w:spacing w:after="160" w:line="240" w:lineRule="exact"/>
      <w:jc w:val="left"/>
    </w:pPr>
    <w:rPr>
      <w:rFonts w:ascii="Verdana" w:hAnsi="Verdana"/>
      <w:kern w:val="0"/>
      <w:sz w:val="18"/>
      <w:szCs w:val="20"/>
      <w:lang w:eastAsia="en-US"/>
    </w:rPr>
  </w:style>
  <w:style w:type="paragraph" w:customStyle="1" w:styleId="18">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paragraph" w:customStyle="1" w:styleId="19">
    <w:name w:val="Table Paragraph"/>
    <w:basedOn w:val="1"/>
    <w:qFormat/>
    <w:uiPriority w:val="1"/>
    <w:rPr>
      <w:rFonts w:ascii="宋体" w:hAnsi="宋体" w:eastAsia="宋体" w:cs="宋体"/>
      <w:lang w:val="zh-CN" w:eastAsia="zh-CN" w:bidi="zh-CN"/>
    </w:rPr>
  </w:style>
  <w:style w:type="paragraph" w:customStyle="1" w:styleId="20">
    <w:name w:val="正文+宋体"/>
    <w:basedOn w:val="1"/>
    <w:qFormat/>
    <w:uiPriority w:val="0"/>
  </w:style>
  <w:style w:type="paragraph" w:customStyle="1" w:styleId="21">
    <w:name w:val="段"/>
    <w:qFormat/>
    <w:uiPriority w:val="0"/>
    <w:pPr>
      <w:tabs>
        <w:tab w:val="center" w:pos="4201"/>
        <w:tab w:val="right" w:leader="dot" w:pos="9298"/>
      </w:tabs>
      <w:autoSpaceDE w:val="0"/>
      <w:autoSpaceDN w:val="0"/>
      <w:ind w:firstLine="420" w:firstLineChars="200"/>
      <w:jc w:val="both"/>
    </w:pPr>
    <w:rPr>
      <w:rFonts w:ascii="宋体" w:hAnsi="Calibri" w:eastAsia="Times New Roman" w:cs="Times New Roman"/>
      <w:sz w:val="21"/>
      <w:szCs w:val="22"/>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Hewlett-Packard Company</Company>
  <Pages>6</Pages>
  <Words>2270</Words>
  <Characters>3338</Characters>
  <Lines>15</Lines>
  <Paragraphs>4</Paragraphs>
  <TotalTime>0</TotalTime>
  <ScaleCrop>false</ScaleCrop>
  <LinksUpToDate>false</LinksUpToDate>
  <CharactersWithSpaces>3450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2015-05-22T03:54:00Z</dcterms:created>
  <dc:creator>cj_wong</dc:creator>
  <cp:lastModifiedBy>某了个少</cp:lastModifiedBy>
  <cp:lastPrinted>2020-01-09T02:23:00Z</cp:lastPrinted>
  <dcterms:modified xsi:type="dcterms:W3CDTF">2026-04-09T02:26:41Z</dcterms:modified>
  <dc:title>XXXX年第X批风险监测实施方案</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SaveFontToCloudKey">
    <vt:lpwstr>559332025_btnclosed</vt:lpwstr>
  </property>
  <property fmtid="{D5CDD505-2E9C-101B-9397-08002B2CF9AE}" pid="4" name="ICV">
    <vt:lpwstr>B9BBE68EA2CA41F3A21BB232A38C4596_13</vt:lpwstr>
  </property>
  <property fmtid="{D5CDD505-2E9C-101B-9397-08002B2CF9AE}" pid="5" name="KSOTemplateDocerSaveRecord">
    <vt:lpwstr>eyJoZGlkIjoiOTM5YTQ4OGNlMDk1MDkxYWE0MjE0MmE1ZTNlMzljYzgiLCJ1c2VySWQiOiI4NjIxNDUwNDgifQ==</vt:lpwstr>
  </property>
</Properties>
</file>